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684C" w14:textId="7E7E3CB5" w:rsidR="008F22A6" w:rsidRDefault="00195BA0" w:rsidP="008F22A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PARECER ADMINISTRATIVO: RESPOSTA AO RECURSO</w:t>
      </w:r>
    </w:p>
    <w:p w14:paraId="05C540B0" w14:textId="77777777" w:rsidR="008F22A6" w:rsidRPr="008F22A6" w:rsidRDefault="008F22A6" w:rsidP="008F22A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14:paraId="76823D39" w14:textId="4BEBF0C0" w:rsidR="00195BA0" w:rsidRPr="008F22A6" w:rsidRDefault="00195BA0" w:rsidP="008F22A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PREGÃO ELETRÔNICO Nº 02/2026</w:t>
      </w:r>
    </w:p>
    <w:p w14:paraId="07F9111A" w14:textId="77777777" w:rsidR="008F22A6" w:rsidRPr="008F22A6" w:rsidRDefault="008F22A6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25736FF7" w14:textId="77777777" w:rsidR="008F22A6" w:rsidRPr="008F22A6" w:rsidRDefault="008F22A6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51F7017D" w14:textId="77777777" w:rsidR="008F22A6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ÓRGÃO:</w:t>
      </w:r>
      <w:r w:rsidRPr="008F22A6">
        <w:rPr>
          <w:rFonts w:ascii="Verdana" w:eastAsia="Times New Roman" w:hAnsi="Verdana" w:cs="Times New Roman"/>
          <w:lang w:eastAsia="pt-BR"/>
        </w:rPr>
        <w:t xml:space="preserve"> Município de Bom Sucesso do Sul/PR </w:t>
      </w:r>
    </w:p>
    <w:p w14:paraId="1E8AAE32" w14:textId="77777777" w:rsidR="008F22A6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RECORRENTE:</w:t>
      </w:r>
      <w:r w:rsidRPr="008F22A6">
        <w:rPr>
          <w:rFonts w:ascii="Verdana" w:eastAsia="Times New Roman" w:hAnsi="Verdana" w:cs="Times New Roman"/>
          <w:lang w:eastAsia="pt-BR"/>
        </w:rPr>
        <w:t xml:space="preserve"> </w:t>
      </w:r>
      <w:proofErr w:type="spellStart"/>
      <w:r w:rsidRPr="008F22A6">
        <w:rPr>
          <w:rFonts w:ascii="Verdana" w:eastAsia="Times New Roman" w:hAnsi="Verdana" w:cs="Times New Roman"/>
          <w:lang w:eastAsia="pt-BR"/>
        </w:rPr>
        <w:t>Sanitop</w:t>
      </w:r>
      <w:proofErr w:type="spellEnd"/>
      <w:r w:rsidRPr="008F22A6">
        <w:rPr>
          <w:rFonts w:ascii="Verdana" w:eastAsia="Times New Roman" w:hAnsi="Verdana" w:cs="Times New Roman"/>
          <w:lang w:eastAsia="pt-BR"/>
        </w:rPr>
        <w:t xml:space="preserve"> Comercial Ltda. </w:t>
      </w:r>
    </w:p>
    <w:p w14:paraId="22DCF070" w14:textId="77777777" w:rsidR="008F22A6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CONTRARRAZOANTE:</w:t>
      </w:r>
      <w:r w:rsidRPr="008F22A6">
        <w:rPr>
          <w:rFonts w:ascii="Verdana" w:eastAsia="Times New Roman" w:hAnsi="Verdana" w:cs="Times New Roman"/>
          <w:lang w:eastAsia="pt-BR"/>
        </w:rPr>
        <w:t xml:space="preserve"> C. A. </w:t>
      </w:r>
      <w:proofErr w:type="spellStart"/>
      <w:r w:rsidRPr="008F22A6">
        <w:rPr>
          <w:rFonts w:ascii="Verdana" w:eastAsia="Times New Roman" w:hAnsi="Verdana" w:cs="Times New Roman"/>
          <w:lang w:eastAsia="pt-BR"/>
        </w:rPr>
        <w:t>Viecelli</w:t>
      </w:r>
      <w:proofErr w:type="spellEnd"/>
      <w:r w:rsidRPr="008F22A6">
        <w:rPr>
          <w:rFonts w:ascii="Verdana" w:eastAsia="Times New Roman" w:hAnsi="Verdana" w:cs="Times New Roman"/>
          <w:lang w:eastAsia="pt-BR"/>
        </w:rPr>
        <w:t xml:space="preserve"> - </w:t>
      </w:r>
      <w:proofErr w:type="spellStart"/>
      <w:r w:rsidRPr="008F22A6">
        <w:rPr>
          <w:rFonts w:ascii="Verdana" w:eastAsia="Times New Roman" w:hAnsi="Verdana" w:cs="Times New Roman"/>
          <w:lang w:eastAsia="pt-BR"/>
        </w:rPr>
        <w:t>Eirelli</w:t>
      </w:r>
      <w:proofErr w:type="spellEnd"/>
      <w:r w:rsidRPr="008F22A6">
        <w:rPr>
          <w:rFonts w:ascii="Verdana" w:eastAsia="Times New Roman" w:hAnsi="Verdana" w:cs="Times New Roman"/>
          <w:lang w:eastAsia="pt-BR"/>
        </w:rPr>
        <w:t xml:space="preserve"> </w:t>
      </w:r>
    </w:p>
    <w:p w14:paraId="7D73A5D2" w14:textId="49497A12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OBJETO:</w:t>
      </w:r>
      <w:r w:rsidRPr="008F22A6">
        <w:rPr>
          <w:rFonts w:ascii="Verdana" w:eastAsia="Times New Roman" w:hAnsi="Verdana" w:cs="Times New Roman"/>
          <w:lang w:eastAsia="pt-BR"/>
        </w:rPr>
        <w:t xml:space="preserve"> Registro de Preços para aquisição de inseticida biológico (</w:t>
      </w:r>
      <w:proofErr w:type="spellStart"/>
      <w:r w:rsidRPr="008F22A6">
        <w:rPr>
          <w:rFonts w:ascii="Verdana" w:eastAsia="Times New Roman" w:hAnsi="Verdana" w:cs="Times New Roman"/>
          <w:lang w:eastAsia="pt-BR"/>
        </w:rPr>
        <w:t>Bti</w:t>
      </w:r>
      <w:proofErr w:type="spellEnd"/>
      <w:r w:rsidRPr="008F22A6">
        <w:rPr>
          <w:rFonts w:ascii="Verdana" w:eastAsia="Times New Roman" w:hAnsi="Verdana" w:cs="Times New Roman"/>
          <w:lang w:eastAsia="pt-BR"/>
        </w:rPr>
        <w:t>).</w:t>
      </w:r>
    </w:p>
    <w:p w14:paraId="2481AC8A" w14:textId="77777777" w:rsidR="008F22A6" w:rsidRPr="008F22A6" w:rsidRDefault="008F22A6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58AD5BB4" w14:textId="77777777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1. DO EXAME DE ADMISSIBILIDADE E DA PRECLUSÃO LÓGICA</w:t>
      </w:r>
    </w:p>
    <w:p w14:paraId="0DA3F052" w14:textId="77777777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lang w:eastAsia="pt-BR"/>
        </w:rPr>
        <w:t xml:space="preserve">Preliminarmente, impõe-se a análise da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preclusão administrativa</w:t>
      </w:r>
      <w:r w:rsidRPr="008F22A6">
        <w:rPr>
          <w:rFonts w:ascii="Verdana" w:eastAsia="Times New Roman" w:hAnsi="Verdana" w:cs="Times New Roman"/>
          <w:lang w:eastAsia="pt-BR"/>
        </w:rPr>
        <w:t xml:space="preserve">. A recorrente insurge-se contra a exigência técnica das </w:t>
      </w:r>
      <w:proofErr w:type="spellStart"/>
      <w:r w:rsidRPr="008F22A6">
        <w:rPr>
          <w:rFonts w:ascii="Verdana" w:eastAsia="Times New Roman" w:hAnsi="Verdana" w:cs="Times New Roman"/>
          <w:lang w:eastAsia="pt-BR"/>
        </w:rPr>
        <w:t>CEPAs</w:t>
      </w:r>
      <w:proofErr w:type="spellEnd"/>
      <w:r w:rsidRPr="008F22A6">
        <w:rPr>
          <w:rFonts w:ascii="Verdana" w:eastAsia="Times New Roman" w:hAnsi="Verdana" w:cs="Times New Roman"/>
          <w:lang w:eastAsia="pt-BR"/>
        </w:rPr>
        <w:t xml:space="preserve"> </w:t>
      </w:r>
      <w:r w:rsidRPr="008F22A6">
        <w:rPr>
          <w:rFonts w:ascii="Verdana" w:eastAsia="Times New Roman" w:hAnsi="Verdana" w:cs="Times New Roman"/>
          <w:i/>
          <w:iCs/>
          <w:lang w:eastAsia="pt-BR"/>
        </w:rPr>
        <w:t>AM65-52</w:t>
      </w:r>
      <w:r w:rsidRPr="008F22A6">
        <w:rPr>
          <w:rFonts w:ascii="Verdana" w:eastAsia="Times New Roman" w:hAnsi="Verdana" w:cs="Times New Roman"/>
          <w:lang w:eastAsia="pt-BR"/>
        </w:rPr>
        <w:t xml:space="preserve"> ou </w:t>
      </w:r>
      <w:r w:rsidRPr="008F22A6">
        <w:rPr>
          <w:rFonts w:ascii="Verdana" w:eastAsia="Times New Roman" w:hAnsi="Verdana" w:cs="Times New Roman"/>
          <w:i/>
          <w:iCs/>
          <w:lang w:eastAsia="pt-BR"/>
        </w:rPr>
        <w:t>BMP 144</w:t>
      </w:r>
      <w:r w:rsidRPr="008F22A6">
        <w:rPr>
          <w:rFonts w:ascii="Verdana" w:eastAsia="Times New Roman" w:hAnsi="Verdana" w:cs="Times New Roman"/>
          <w:lang w:eastAsia="pt-BR"/>
        </w:rPr>
        <w:t xml:space="preserve">, alegando serem restritivas e configurarem direcionamento de marca12. Todavia, tal insurgência ataca, em substância, o mérito do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instrumento convocatório</w:t>
      </w:r>
      <w:r w:rsidRPr="008F22A6">
        <w:rPr>
          <w:rFonts w:ascii="Verdana" w:eastAsia="Times New Roman" w:hAnsi="Verdana" w:cs="Times New Roman"/>
          <w:lang w:eastAsia="pt-BR"/>
        </w:rPr>
        <w:t xml:space="preserve"> e não meramente o ato de desclassificação.</w:t>
      </w:r>
    </w:p>
    <w:p w14:paraId="65472ACA" w14:textId="529A6724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lang w:eastAsia="pt-BR"/>
        </w:rPr>
        <w:t xml:space="preserve">Conforme a teoria das nulidades no processo administrativo licitatório, se a licitante vislumbrava vício na especificação técnica do objeto, deveria ter manejado o pedido de esclarecimento ou a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impugnação ao edital</w:t>
      </w:r>
      <w:r w:rsidRPr="008F22A6">
        <w:rPr>
          <w:rFonts w:ascii="Verdana" w:eastAsia="Times New Roman" w:hAnsi="Verdana" w:cs="Times New Roman"/>
          <w:lang w:eastAsia="pt-BR"/>
        </w:rPr>
        <w:t xml:space="preserve"> no prazo legal3. Ao participar do certame sem questionar as regras que o regem, a recorrente operou a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aceitação plena e irrestrita</w:t>
      </w:r>
      <w:r w:rsidRPr="008F22A6">
        <w:rPr>
          <w:rFonts w:ascii="Verdana" w:eastAsia="Times New Roman" w:hAnsi="Verdana" w:cs="Times New Roman"/>
          <w:lang w:eastAsia="pt-BR"/>
        </w:rPr>
        <w:t xml:space="preserve"> de todas as condições estabelecidas, configurando-se a preclusão lógica de seu direito de impugnar a regra após o resultado desfavorável.</w:t>
      </w:r>
    </w:p>
    <w:p w14:paraId="05AD0A1D" w14:textId="77777777" w:rsidR="008F22A6" w:rsidRPr="008F22A6" w:rsidRDefault="008F22A6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76417FA4" w14:textId="77777777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2. DA HERMENÊUTICA DA VINCULAÇÃO AO INSTRUMENTO CONVOCATÓRIO</w:t>
      </w:r>
    </w:p>
    <w:p w14:paraId="49CAA4DF" w14:textId="254E9442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lang w:eastAsia="pt-BR"/>
        </w:rPr>
        <w:t xml:space="preserve">A Administração Pública é regida pelo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Princípio da Vinculação ao Instrumento Convocatório</w:t>
      </w:r>
      <w:r w:rsidRPr="008F22A6">
        <w:rPr>
          <w:rFonts w:ascii="Verdana" w:eastAsia="Times New Roman" w:hAnsi="Verdana" w:cs="Times New Roman"/>
          <w:lang w:eastAsia="pt-BR"/>
        </w:rPr>
        <w:t xml:space="preserve"> (Art. 5º, Lei nº 14.133/2021), que funciona como a "lei interna" do certame4. O edital foi taxativo ao exigir </w:t>
      </w:r>
      <w:proofErr w:type="spellStart"/>
      <w:r w:rsidRPr="008F22A6">
        <w:rPr>
          <w:rFonts w:ascii="Verdana" w:eastAsia="Times New Roman" w:hAnsi="Verdana" w:cs="Times New Roman"/>
          <w:lang w:eastAsia="pt-BR"/>
        </w:rPr>
        <w:t>CEPAs</w:t>
      </w:r>
      <w:proofErr w:type="spellEnd"/>
      <w:r w:rsidRPr="008F22A6">
        <w:rPr>
          <w:rFonts w:ascii="Verdana" w:eastAsia="Times New Roman" w:hAnsi="Verdana" w:cs="Times New Roman"/>
          <w:lang w:eastAsia="pt-BR"/>
        </w:rPr>
        <w:t xml:space="preserve"> específicas, não prevendo a cláusula de "equivalência" para o item em questão.</w:t>
      </w:r>
    </w:p>
    <w:p w14:paraId="7E23E73C" w14:textId="5745C37C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lang w:eastAsia="pt-BR"/>
        </w:rPr>
        <w:t xml:space="preserve">A tese da recorrente sobre a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equivalência biológica</w:t>
      </w:r>
      <w:r w:rsidRPr="008F22A6">
        <w:rPr>
          <w:rFonts w:ascii="Verdana" w:eastAsia="Times New Roman" w:hAnsi="Verdana" w:cs="Times New Roman"/>
          <w:lang w:eastAsia="pt-BR"/>
        </w:rPr>
        <w:t xml:space="preserve"> (Cepa S-1806) e a soberania da ANVISA, embora dotada de logicidade científica78, colide com o dever ético-jurídico de isonomia9. Aceitar um produto com identidade genética diversa após a abertura das propostas seria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 xml:space="preserve">subverter as regras do jogo </w:t>
      </w:r>
      <w:proofErr w:type="spellStart"/>
      <w:r w:rsidRPr="008F22A6">
        <w:rPr>
          <w:rFonts w:ascii="Verdana" w:eastAsia="Times New Roman" w:hAnsi="Verdana" w:cs="Times New Roman"/>
          <w:b/>
          <w:bCs/>
          <w:i/>
          <w:iCs/>
          <w:lang w:eastAsia="pt-BR"/>
        </w:rPr>
        <w:t>ex</w:t>
      </w:r>
      <w:proofErr w:type="spellEnd"/>
      <w:r w:rsidRPr="008F22A6">
        <w:rPr>
          <w:rFonts w:ascii="Verdana" w:eastAsia="Times New Roman" w:hAnsi="Verdana" w:cs="Times New Roman"/>
          <w:b/>
          <w:bCs/>
          <w:i/>
          <w:iCs/>
          <w:lang w:eastAsia="pt-BR"/>
        </w:rPr>
        <w:t xml:space="preserve"> post facto</w:t>
      </w:r>
      <w:r w:rsidRPr="008F22A6">
        <w:rPr>
          <w:rFonts w:ascii="Verdana" w:eastAsia="Times New Roman" w:hAnsi="Verdana" w:cs="Times New Roman"/>
          <w:lang w:eastAsia="pt-BR"/>
        </w:rPr>
        <w:t>1011. Tal conduta prejudicaria potenciais competidores que, por possuírem apenas a tecnologia da Embrapa (S-1806), abstiveram-se de participar em respeito à literalidade do edital.</w:t>
      </w:r>
    </w:p>
    <w:p w14:paraId="651573AF" w14:textId="77777777" w:rsidR="008F22A6" w:rsidRPr="008F22A6" w:rsidRDefault="008F22A6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426ADC09" w14:textId="77777777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3. DA DISCRICIONARIEDADE TÉCNICA E IDENTIDADE GENÉTICA</w:t>
      </w:r>
    </w:p>
    <w:p w14:paraId="18882D33" w14:textId="2DBEBF5C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lang w:eastAsia="pt-BR"/>
        </w:rPr>
        <w:t xml:space="preserve">No campo da filosofia do direito aplicada à técnica, a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especificação do objeto</w:t>
      </w:r>
      <w:r w:rsidRPr="008F22A6">
        <w:rPr>
          <w:rFonts w:ascii="Verdana" w:eastAsia="Times New Roman" w:hAnsi="Verdana" w:cs="Times New Roman"/>
          <w:lang w:eastAsia="pt-BR"/>
        </w:rPr>
        <w:t xml:space="preserve"> é ato de discricionariedade motivada da Administração. A CEPA não é um mero nome comercial, mas uma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identificação genética específica</w:t>
      </w:r>
      <w:r w:rsidRPr="008F22A6">
        <w:rPr>
          <w:rFonts w:ascii="Verdana" w:eastAsia="Times New Roman" w:hAnsi="Verdana" w:cs="Times New Roman"/>
          <w:lang w:eastAsia="pt-BR"/>
        </w:rPr>
        <w:t xml:space="preserve"> responsável por características de desempenho, estabilidade e comportamento ambiental.</w:t>
      </w:r>
    </w:p>
    <w:p w14:paraId="3B3AAE88" w14:textId="72E0A283" w:rsidR="00195BA0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lang w:eastAsia="pt-BR"/>
        </w:rPr>
        <w:t xml:space="preserve">A Administração Municipal, ao definir o objeto, busca não apenas o "fim" (morte da larva), mas o "meio" técnico que melhor se adequa ao seu histórico de controle sanitário local14. A inobservância de requisito técnico pormenorizado no edital impõe, de forma vinculada, a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desclassificação da proposta</w:t>
      </w:r>
      <w:r w:rsidRPr="008F22A6">
        <w:rPr>
          <w:rFonts w:ascii="Verdana" w:eastAsia="Times New Roman" w:hAnsi="Verdana" w:cs="Times New Roman"/>
          <w:lang w:eastAsia="pt-BR"/>
        </w:rPr>
        <w:t xml:space="preserve">, conforme preceitua o Art. 59, inciso I, da Lei nº 14.133/20211516. Não se trata de formalismo excessivo, mas de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rigorismo material</w:t>
      </w:r>
      <w:r w:rsidRPr="008F22A6">
        <w:rPr>
          <w:rFonts w:ascii="Verdana" w:eastAsia="Times New Roman" w:hAnsi="Verdana" w:cs="Times New Roman"/>
          <w:lang w:eastAsia="pt-BR"/>
        </w:rPr>
        <w:t xml:space="preserve"> quanto ao objeto contratado.</w:t>
      </w:r>
    </w:p>
    <w:p w14:paraId="37C7330E" w14:textId="77777777" w:rsidR="00466857" w:rsidRPr="008F22A6" w:rsidRDefault="00466857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4629A2D1" w14:textId="77777777" w:rsidR="008F22A6" w:rsidRPr="008F22A6" w:rsidRDefault="008F22A6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5546694D" w14:textId="77777777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lastRenderedPageBreak/>
        <w:t>4. DA JURISPRUDÊNCIA E DO JULGAMENTO OBJETIVO</w:t>
      </w:r>
    </w:p>
    <w:p w14:paraId="09429D45" w14:textId="2C6D9F77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lang w:eastAsia="pt-BR"/>
        </w:rPr>
        <w:t xml:space="preserve">Embora a recorrente cite precedentes do TCU sobre a vedação ao direcionamento, a jurisprudência consolidada do Superior Tribunal de Justiça (STJ) e do próprio Tribunal de Contas da União reafirma que a Administração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não pode flexibilizar exigências técnicas</w:t>
      </w:r>
      <w:r w:rsidRPr="008F22A6">
        <w:rPr>
          <w:rFonts w:ascii="Verdana" w:eastAsia="Times New Roman" w:hAnsi="Verdana" w:cs="Times New Roman"/>
          <w:lang w:eastAsia="pt-BR"/>
        </w:rPr>
        <w:t xml:space="preserve"> após a apresentação das propostas, sob pena de nulidade por violação ao julgamento objetivo. A segurança jurídica do processo licitatório repousa na estabilidade das regras fixadas.</w:t>
      </w:r>
    </w:p>
    <w:p w14:paraId="3B018BF2" w14:textId="77777777" w:rsidR="008F22A6" w:rsidRPr="008F22A6" w:rsidRDefault="008F22A6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5B9821ED" w14:textId="77777777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5. DISPOSITIVO</w:t>
      </w:r>
    </w:p>
    <w:p w14:paraId="765A7456" w14:textId="0A26B12B" w:rsidR="00195BA0" w:rsidRPr="008F22A6" w:rsidRDefault="00195BA0" w:rsidP="008F22A6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lang w:eastAsia="pt-BR"/>
        </w:rPr>
        <w:t xml:space="preserve">Diante do exposto, sob a fundamentação do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Princípio da Vinculação ao Edital</w:t>
      </w:r>
      <w:r w:rsidRPr="008F22A6">
        <w:rPr>
          <w:rFonts w:ascii="Verdana" w:eastAsia="Times New Roman" w:hAnsi="Verdana" w:cs="Times New Roman"/>
          <w:lang w:eastAsia="pt-BR"/>
        </w:rPr>
        <w:t xml:space="preserve">, da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Isonomia</w:t>
      </w:r>
      <w:r w:rsidRPr="008F22A6">
        <w:rPr>
          <w:rFonts w:ascii="Verdana" w:eastAsia="Times New Roman" w:hAnsi="Verdana" w:cs="Times New Roman"/>
          <w:lang w:eastAsia="pt-BR"/>
        </w:rPr>
        <w:t xml:space="preserve"> e da ocorrência de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Preclusão</w:t>
      </w:r>
      <w:r w:rsidRPr="008F22A6">
        <w:rPr>
          <w:rFonts w:ascii="Verdana" w:eastAsia="Times New Roman" w:hAnsi="Verdana" w:cs="Times New Roman"/>
          <w:lang w:eastAsia="pt-BR"/>
        </w:rPr>
        <w:t>, esta</w:t>
      </w:r>
      <w:r w:rsidR="00496042">
        <w:rPr>
          <w:rFonts w:ascii="Verdana" w:eastAsia="Times New Roman" w:hAnsi="Verdana" w:cs="Times New Roman"/>
          <w:lang w:eastAsia="pt-BR"/>
        </w:rPr>
        <w:t xml:space="preserve"> comissão recomenda que</w:t>
      </w:r>
      <w:r w:rsidRPr="008F22A6">
        <w:rPr>
          <w:rFonts w:ascii="Verdana" w:eastAsia="Times New Roman" w:hAnsi="Verdana" w:cs="Times New Roman"/>
          <w:lang w:eastAsia="pt-BR"/>
        </w:rPr>
        <w:t>:</w:t>
      </w:r>
    </w:p>
    <w:p w14:paraId="072DEF06" w14:textId="77777777" w:rsidR="00195BA0" w:rsidRPr="008F22A6" w:rsidRDefault="00195BA0" w:rsidP="008F22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CONHECIMENTO</w:t>
      </w:r>
      <w:r w:rsidRPr="008F22A6">
        <w:rPr>
          <w:rFonts w:ascii="Verdana" w:eastAsia="Times New Roman" w:hAnsi="Verdana" w:cs="Times New Roman"/>
          <w:lang w:eastAsia="pt-BR"/>
        </w:rPr>
        <w:t xml:space="preserve"> do recurso, por sua tempestividade;</w:t>
      </w:r>
    </w:p>
    <w:p w14:paraId="312AC344" w14:textId="6B550B6B" w:rsidR="008F22A6" w:rsidRPr="008F22A6" w:rsidRDefault="00195BA0" w:rsidP="008F22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NÃO PROVIMENTO</w:t>
      </w:r>
      <w:r w:rsidRPr="008F22A6">
        <w:rPr>
          <w:rFonts w:ascii="Verdana" w:eastAsia="Times New Roman" w:hAnsi="Verdana" w:cs="Times New Roman"/>
          <w:lang w:eastAsia="pt-BR"/>
        </w:rPr>
        <w:t xml:space="preserve"> no mérito, mantendo-se a </w:t>
      </w:r>
      <w:r w:rsidRPr="008F22A6">
        <w:rPr>
          <w:rFonts w:ascii="Verdana" w:eastAsia="Times New Roman" w:hAnsi="Verdana" w:cs="Times New Roman"/>
          <w:b/>
          <w:bCs/>
          <w:lang w:eastAsia="pt-BR"/>
        </w:rPr>
        <w:t>desclassificação</w:t>
      </w:r>
      <w:r w:rsidRPr="008F22A6">
        <w:rPr>
          <w:rFonts w:ascii="Verdana" w:eastAsia="Times New Roman" w:hAnsi="Verdana" w:cs="Times New Roman"/>
          <w:lang w:eastAsia="pt-BR"/>
        </w:rPr>
        <w:t xml:space="preserve"> da empresa </w:t>
      </w:r>
      <w:proofErr w:type="spellStart"/>
      <w:r w:rsidRPr="008F22A6">
        <w:rPr>
          <w:rFonts w:ascii="Verdana" w:eastAsia="Times New Roman" w:hAnsi="Verdana" w:cs="Times New Roman"/>
          <w:lang w:eastAsia="pt-BR"/>
        </w:rPr>
        <w:t>Sanitop</w:t>
      </w:r>
      <w:proofErr w:type="spellEnd"/>
      <w:r w:rsidRPr="008F22A6">
        <w:rPr>
          <w:rFonts w:ascii="Verdana" w:eastAsia="Times New Roman" w:hAnsi="Verdana" w:cs="Times New Roman"/>
          <w:lang w:eastAsia="pt-BR"/>
        </w:rPr>
        <w:t xml:space="preserve"> Comercial Ltda;</w:t>
      </w:r>
    </w:p>
    <w:p w14:paraId="4EDD96E5" w14:textId="4D31E7CF" w:rsidR="00195BA0" w:rsidRPr="008F22A6" w:rsidRDefault="00195BA0" w:rsidP="008F22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b/>
          <w:bCs/>
          <w:lang w:eastAsia="pt-BR"/>
        </w:rPr>
        <w:t>MANUTENÇÃO DA DECISÃO</w:t>
      </w:r>
      <w:r w:rsidRPr="008F22A6">
        <w:rPr>
          <w:rFonts w:ascii="Verdana" w:eastAsia="Times New Roman" w:hAnsi="Verdana" w:cs="Times New Roman"/>
          <w:lang w:eastAsia="pt-BR"/>
        </w:rPr>
        <w:t xml:space="preserve"> de classificação e adjudicação em favor da empresa C. A. </w:t>
      </w:r>
      <w:proofErr w:type="spellStart"/>
      <w:r w:rsidRPr="008F22A6">
        <w:rPr>
          <w:rFonts w:ascii="Verdana" w:eastAsia="Times New Roman" w:hAnsi="Verdana" w:cs="Times New Roman"/>
          <w:lang w:eastAsia="pt-BR"/>
        </w:rPr>
        <w:t>Viecelli</w:t>
      </w:r>
      <w:proofErr w:type="spellEnd"/>
      <w:r w:rsidRPr="008F22A6">
        <w:rPr>
          <w:rFonts w:ascii="Verdana" w:eastAsia="Times New Roman" w:hAnsi="Verdana" w:cs="Times New Roman"/>
          <w:lang w:eastAsia="pt-BR"/>
        </w:rPr>
        <w:t xml:space="preserve"> - </w:t>
      </w:r>
      <w:proofErr w:type="spellStart"/>
      <w:r w:rsidRPr="008F22A6">
        <w:rPr>
          <w:rFonts w:ascii="Verdana" w:eastAsia="Times New Roman" w:hAnsi="Verdana" w:cs="Times New Roman"/>
          <w:lang w:eastAsia="pt-BR"/>
        </w:rPr>
        <w:t>Eirelli</w:t>
      </w:r>
      <w:proofErr w:type="spellEnd"/>
      <w:r w:rsidRPr="008F22A6">
        <w:rPr>
          <w:rFonts w:ascii="Verdana" w:eastAsia="Times New Roman" w:hAnsi="Verdana" w:cs="Times New Roman"/>
          <w:lang w:eastAsia="pt-BR"/>
        </w:rPr>
        <w:t>, por estrita conformidade com as especificações do Termo de Referência.</w:t>
      </w:r>
    </w:p>
    <w:p w14:paraId="15F352FF" w14:textId="421BCC0B" w:rsidR="00496042" w:rsidRDefault="00195BA0" w:rsidP="00496042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8F22A6">
        <w:rPr>
          <w:rFonts w:ascii="Verdana" w:eastAsia="Times New Roman" w:hAnsi="Verdana" w:cs="Times New Roman"/>
          <w:lang w:eastAsia="pt-BR"/>
        </w:rPr>
        <w:t>É o parecer que submeto à autoridade superior para decisão</w:t>
      </w:r>
      <w:r w:rsidR="00496042">
        <w:rPr>
          <w:rFonts w:ascii="Verdana" w:eastAsia="Times New Roman" w:hAnsi="Verdana" w:cs="Times New Roman"/>
          <w:lang w:eastAsia="pt-BR"/>
        </w:rPr>
        <w:t>.</w:t>
      </w:r>
    </w:p>
    <w:p w14:paraId="417705B7" w14:textId="77777777" w:rsidR="00496042" w:rsidRDefault="00496042" w:rsidP="00496042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lang w:eastAsia="pt-BR"/>
        </w:rPr>
      </w:pPr>
    </w:p>
    <w:p w14:paraId="73C3D0A3" w14:textId="77777777" w:rsidR="00496042" w:rsidRDefault="00496042" w:rsidP="00496042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lang w:eastAsia="pt-BR"/>
        </w:rPr>
      </w:pPr>
    </w:p>
    <w:p w14:paraId="2C14D97A" w14:textId="77777777" w:rsidR="00496042" w:rsidRPr="00496042" w:rsidRDefault="00496042" w:rsidP="00496042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lang w:eastAsia="pt-BR"/>
        </w:rPr>
      </w:pPr>
    </w:p>
    <w:p w14:paraId="19FDFF3B" w14:textId="2C673EE5" w:rsidR="00496042" w:rsidRDefault="00496042" w:rsidP="00496042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96042">
        <w:rPr>
          <w:rFonts w:ascii="Verdana" w:eastAsia="Times New Roman" w:hAnsi="Verdana" w:cs="Times New Roman"/>
          <w:lang w:eastAsia="pt-BR"/>
        </w:rPr>
        <w:t>Josiane Folle</w:t>
      </w:r>
      <w:r w:rsidRPr="00496042">
        <w:rPr>
          <w:rFonts w:ascii="Verdana" w:eastAsia="Times New Roman" w:hAnsi="Verdana" w:cs="Times New Roman"/>
          <w:lang w:eastAsia="pt-BR"/>
        </w:rPr>
        <w:tab/>
      </w:r>
      <w:r w:rsidRPr="00496042">
        <w:rPr>
          <w:rFonts w:ascii="Verdana" w:eastAsia="Times New Roman" w:hAnsi="Verdana" w:cs="Times New Roman"/>
          <w:lang w:eastAsia="pt-BR"/>
        </w:rPr>
        <w:tab/>
        <w:t xml:space="preserve">                Valentina R. </w:t>
      </w:r>
      <w:proofErr w:type="spellStart"/>
      <w:r w:rsidRPr="00496042">
        <w:rPr>
          <w:rFonts w:ascii="Verdana" w:eastAsia="Times New Roman" w:hAnsi="Verdana" w:cs="Times New Roman"/>
          <w:lang w:eastAsia="pt-BR"/>
        </w:rPr>
        <w:t>Marinhuk</w:t>
      </w:r>
      <w:proofErr w:type="spellEnd"/>
      <w:r>
        <w:rPr>
          <w:rFonts w:ascii="Verdana" w:eastAsia="Times New Roman" w:hAnsi="Verdana" w:cs="Times New Roman"/>
          <w:lang w:eastAsia="pt-BR"/>
        </w:rPr>
        <w:t xml:space="preserve">                 </w:t>
      </w:r>
      <w:proofErr w:type="spellStart"/>
      <w:r>
        <w:rPr>
          <w:rFonts w:ascii="Verdana" w:eastAsia="Times New Roman" w:hAnsi="Verdana" w:cs="Times New Roman"/>
          <w:lang w:eastAsia="pt-BR"/>
        </w:rPr>
        <w:t>Carise</w:t>
      </w:r>
      <w:proofErr w:type="spellEnd"/>
      <w:r>
        <w:rPr>
          <w:rFonts w:ascii="Verdana" w:eastAsia="Times New Roman" w:hAnsi="Verdana" w:cs="Times New Roman"/>
          <w:lang w:eastAsia="pt-BR"/>
        </w:rPr>
        <w:t xml:space="preserve"> Regina </w:t>
      </w:r>
      <w:proofErr w:type="spellStart"/>
      <w:r>
        <w:rPr>
          <w:rFonts w:ascii="Verdana" w:eastAsia="Times New Roman" w:hAnsi="Verdana" w:cs="Times New Roman"/>
          <w:lang w:eastAsia="pt-BR"/>
        </w:rPr>
        <w:t>Nesello</w:t>
      </w:r>
      <w:proofErr w:type="spellEnd"/>
    </w:p>
    <w:p w14:paraId="30BA5547" w14:textId="506C89B6" w:rsidR="00496042" w:rsidRDefault="00496042" w:rsidP="00496042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  <w:proofErr w:type="spellStart"/>
      <w:proofErr w:type="gramStart"/>
      <w:r w:rsidRPr="00496042">
        <w:rPr>
          <w:rFonts w:ascii="Verdana" w:eastAsia="Times New Roman" w:hAnsi="Verdana" w:cs="Times New Roman"/>
          <w:lang w:eastAsia="pt-BR"/>
        </w:rPr>
        <w:t>Progeria</w:t>
      </w:r>
      <w:proofErr w:type="spellEnd"/>
      <w:r w:rsidRPr="00496042">
        <w:rPr>
          <w:rFonts w:ascii="Verdana" w:eastAsia="Times New Roman" w:hAnsi="Verdana" w:cs="Times New Roman"/>
          <w:lang w:eastAsia="pt-BR"/>
        </w:rPr>
        <w:t xml:space="preserve">  </w:t>
      </w:r>
      <w:r w:rsidRPr="00496042">
        <w:rPr>
          <w:rFonts w:ascii="Verdana" w:eastAsia="Times New Roman" w:hAnsi="Verdana" w:cs="Times New Roman"/>
          <w:lang w:eastAsia="pt-BR"/>
        </w:rPr>
        <w:tab/>
      </w:r>
      <w:proofErr w:type="gramEnd"/>
      <w:r w:rsidRPr="00496042">
        <w:rPr>
          <w:rFonts w:ascii="Verdana" w:eastAsia="Times New Roman" w:hAnsi="Verdana" w:cs="Times New Roman"/>
          <w:lang w:eastAsia="pt-BR"/>
        </w:rPr>
        <w:tab/>
        <w:t xml:space="preserve">                   </w:t>
      </w:r>
      <w:r>
        <w:rPr>
          <w:rFonts w:ascii="Verdana" w:eastAsia="Times New Roman" w:hAnsi="Verdana" w:cs="Times New Roman"/>
          <w:lang w:eastAsia="pt-BR"/>
        </w:rPr>
        <w:t xml:space="preserve">     </w:t>
      </w:r>
      <w:r w:rsidRPr="00496042">
        <w:rPr>
          <w:rFonts w:ascii="Verdana" w:eastAsia="Times New Roman" w:hAnsi="Verdana" w:cs="Times New Roman"/>
          <w:lang w:eastAsia="pt-BR"/>
        </w:rPr>
        <w:t xml:space="preserve">Apoio                         </w:t>
      </w:r>
      <w:r w:rsidRPr="00496042">
        <w:rPr>
          <w:rFonts w:ascii="Verdana" w:eastAsia="Times New Roman" w:hAnsi="Verdana" w:cs="Times New Roman"/>
          <w:lang w:eastAsia="pt-BR"/>
        </w:rPr>
        <w:tab/>
        <w:t xml:space="preserve">  </w:t>
      </w:r>
      <w:r>
        <w:rPr>
          <w:rFonts w:ascii="Verdana" w:eastAsia="Times New Roman" w:hAnsi="Verdana" w:cs="Times New Roman"/>
          <w:lang w:eastAsia="pt-BR"/>
        </w:rPr>
        <w:t xml:space="preserve">         </w:t>
      </w:r>
      <w:r w:rsidRPr="00496042">
        <w:rPr>
          <w:rFonts w:ascii="Verdana" w:eastAsia="Times New Roman" w:hAnsi="Verdana" w:cs="Times New Roman"/>
          <w:lang w:eastAsia="pt-BR"/>
        </w:rPr>
        <w:t xml:space="preserve"> Apoio</w:t>
      </w:r>
    </w:p>
    <w:p w14:paraId="209B4D78" w14:textId="77777777" w:rsidR="00496042" w:rsidRDefault="00496042" w:rsidP="00496042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515DFFF9" w14:textId="77777777" w:rsidR="00496042" w:rsidRDefault="00496042" w:rsidP="00496042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780DC93C" w14:textId="77777777" w:rsidR="00496042" w:rsidRDefault="00496042" w:rsidP="00496042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1BCDD5FF" w14:textId="77777777" w:rsidR="00496042" w:rsidRPr="00496042" w:rsidRDefault="00496042" w:rsidP="00496042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50AE6878" w14:textId="0AE7C4B1" w:rsidR="00496042" w:rsidRPr="00496042" w:rsidRDefault="00496042" w:rsidP="0049604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pt-BR"/>
        </w:rPr>
      </w:pPr>
    </w:p>
    <w:p w14:paraId="4DEAA659" w14:textId="1B6CA00A" w:rsidR="00496042" w:rsidRPr="00496042" w:rsidRDefault="00496042" w:rsidP="0049604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pt-BR"/>
        </w:rPr>
      </w:pPr>
      <w:proofErr w:type="spellStart"/>
      <w:r w:rsidRPr="00496042">
        <w:rPr>
          <w:rFonts w:ascii="Verdana" w:eastAsia="Times New Roman" w:hAnsi="Verdana" w:cs="Times New Roman"/>
          <w:lang w:eastAsia="pt-BR"/>
        </w:rPr>
        <w:t>Yonara</w:t>
      </w:r>
      <w:proofErr w:type="spellEnd"/>
      <w:r w:rsidRPr="00496042">
        <w:rPr>
          <w:rFonts w:ascii="Verdana" w:eastAsia="Times New Roman" w:hAnsi="Verdana" w:cs="Times New Roman"/>
          <w:lang w:eastAsia="pt-BR"/>
        </w:rPr>
        <w:t xml:space="preserve"> Beatriz de Araujo Penso  </w:t>
      </w:r>
      <w:r w:rsidRPr="00496042">
        <w:rPr>
          <w:rFonts w:ascii="Verdana" w:eastAsia="Times New Roman" w:hAnsi="Verdana" w:cs="Times New Roman"/>
          <w:lang w:eastAsia="pt-BR"/>
        </w:rPr>
        <w:tab/>
      </w:r>
      <w:r w:rsidRPr="00496042">
        <w:rPr>
          <w:rFonts w:ascii="Verdana" w:eastAsia="Times New Roman" w:hAnsi="Verdana" w:cs="Times New Roman"/>
          <w:lang w:eastAsia="pt-BR"/>
        </w:rPr>
        <w:t xml:space="preserve">     </w:t>
      </w:r>
      <w:r w:rsidRPr="00496042">
        <w:rPr>
          <w:rFonts w:ascii="Verdana" w:eastAsia="Times New Roman" w:hAnsi="Verdana" w:cs="Times New Roman"/>
          <w:lang w:eastAsia="pt-BR"/>
        </w:rPr>
        <w:t xml:space="preserve">  </w:t>
      </w:r>
      <w:r>
        <w:rPr>
          <w:rFonts w:ascii="Verdana" w:eastAsia="Times New Roman" w:hAnsi="Verdana" w:cs="Times New Roman"/>
          <w:lang w:eastAsia="pt-BR"/>
        </w:rPr>
        <w:t xml:space="preserve">          </w:t>
      </w:r>
      <w:r w:rsidRPr="00496042">
        <w:rPr>
          <w:rFonts w:ascii="Verdana" w:eastAsia="Times New Roman" w:hAnsi="Verdana" w:cs="Times New Roman"/>
          <w:lang w:eastAsia="pt-BR"/>
        </w:rPr>
        <w:t xml:space="preserve">Fabiana </w:t>
      </w:r>
      <w:proofErr w:type="spellStart"/>
      <w:r w:rsidRPr="00496042">
        <w:rPr>
          <w:rFonts w:ascii="Verdana" w:eastAsia="Times New Roman" w:hAnsi="Verdana" w:cs="Times New Roman"/>
          <w:lang w:eastAsia="pt-BR"/>
        </w:rPr>
        <w:t>Magáli</w:t>
      </w:r>
      <w:proofErr w:type="spellEnd"/>
      <w:r w:rsidRPr="00496042">
        <w:rPr>
          <w:rFonts w:ascii="Verdana" w:eastAsia="Times New Roman" w:hAnsi="Verdana" w:cs="Times New Roman"/>
          <w:lang w:eastAsia="pt-BR"/>
        </w:rPr>
        <w:t xml:space="preserve"> </w:t>
      </w:r>
      <w:proofErr w:type="spellStart"/>
      <w:r w:rsidRPr="00496042">
        <w:rPr>
          <w:rFonts w:ascii="Verdana" w:eastAsia="Times New Roman" w:hAnsi="Verdana" w:cs="Times New Roman"/>
          <w:lang w:eastAsia="pt-BR"/>
        </w:rPr>
        <w:t>Novadzki</w:t>
      </w:r>
      <w:proofErr w:type="spellEnd"/>
    </w:p>
    <w:p w14:paraId="3DFC8D9B" w14:textId="6EB9C48C" w:rsidR="00496042" w:rsidRPr="00496042" w:rsidRDefault="00496042" w:rsidP="0049604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           </w:t>
      </w:r>
      <w:r w:rsidRPr="00496042">
        <w:rPr>
          <w:rFonts w:ascii="Verdana" w:eastAsia="Times New Roman" w:hAnsi="Verdana" w:cs="Times New Roman"/>
          <w:lang w:eastAsia="pt-BR"/>
        </w:rPr>
        <w:t xml:space="preserve">Apoio                                                   </w:t>
      </w:r>
      <w:r w:rsidRPr="00496042">
        <w:rPr>
          <w:rFonts w:ascii="Verdana" w:eastAsia="Times New Roman" w:hAnsi="Verdana" w:cs="Times New Roman"/>
          <w:lang w:eastAsia="pt-BR"/>
        </w:rPr>
        <w:t xml:space="preserve">                 </w:t>
      </w:r>
      <w:proofErr w:type="spellStart"/>
      <w:r w:rsidRPr="00496042">
        <w:rPr>
          <w:rFonts w:ascii="Verdana" w:eastAsia="Times New Roman" w:hAnsi="Verdana" w:cs="Times New Roman"/>
          <w:lang w:eastAsia="pt-BR"/>
        </w:rPr>
        <w:t>Apoio</w:t>
      </w:r>
      <w:proofErr w:type="spellEnd"/>
    </w:p>
    <w:p w14:paraId="1BFAEA84" w14:textId="77777777" w:rsidR="00496042" w:rsidRPr="008F22A6" w:rsidRDefault="00496042" w:rsidP="00496042">
      <w:pPr>
        <w:spacing w:after="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6B08B695" w14:textId="77777777" w:rsidR="008F22A6" w:rsidRPr="008F22A6" w:rsidRDefault="008F22A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sectPr w:rsidR="008F22A6" w:rsidRPr="008F22A6" w:rsidSect="00466857">
      <w:pgSz w:w="11906" w:h="16838"/>
      <w:pgMar w:top="2552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45545"/>
    <w:multiLevelType w:val="multilevel"/>
    <w:tmpl w:val="F080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41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A0"/>
    <w:rsid w:val="00195BA0"/>
    <w:rsid w:val="002F3BEE"/>
    <w:rsid w:val="00466857"/>
    <w:rsid w:val="00496042"/>
    <w:rsid w:val="006B3BE2"/>
    <w:rsid w:val="008F22A6"/>
    <w:rsid w:val="00C3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7A5B"/>
  <w15:chartTrackingRefBased/>
  <w15:docId w15:val="{57DFFEF1-5D1A-4555-A98D-64E467D3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g-star-inserted">
    <w:name w:val="ng-star-inserted"/>
    <w:basedOn w:val="Fontepargpadro"/>
    <w:rsid w:val="00195BA0"/>
  </w:style>
  <w:style w:type="paragraph" w:customStyle="1" w:styleId="paragraph">
    <w:name w:val="paragraph"/>
    <w:basedOn w:val="Normal"/>
    <w:rsid w:val="0019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dc-buttonlabel">
    <w:name w:val="mdc-button__label"/>
    <w:basedOn w:val="Fontepargpadro"/>
    <w:rsid w:val="00195BA0"/>
  </w:style>
  <w:style w:type="character" w:customStyle="1" w:styleId="mat-mdc-tooltip-trigger">
    <w:name w:val="mat-mdc-tooltip-trigger"/>
    <w:basedOn w:val="Fontepargpadro"/>
    <w:rsid w:val="0019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Josi</cp:lastModifiedBy>
  <cp:revision>2</cp:revision>
  <cp:lastPrinted>2026-03-12T16:26:00Z</cp:lastPrinted>
  <dcterms:created xsi:type="dcterms:W3CDTF">2026-03-13T11:10:00Z</dcterms:created>
  <dcterms:modified xsi:type="dcterms:W3CDTF">2026-03-13T11:10:00Z</dcterms:modified>
</cp:coreProperties>
</file>