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098" w:rsidRPr="00027912" w:rsidRDefault="00C54098" w:rsidP="00C74777">
      <w:pPr>
        <w:jc w:val="center"/>
        <w:rPr>
          <w:rFonts w:ascii="Arial" w:hAnsi="Arial" w:cs="Arial"/>
          <w:b/>
          <w:sz w:val="22"/>
          <w:szCs w:val="22"/>
        </w:rPr>
      </w:pPr>
      <w:r w:rsidRPr="00027912">
        <w:rPr>
          <w:rFonts w:ascii="Arial" w:hAnsi="Arial" w:cs="Arial"/>
          <w:b/>
          <w:sz w:val="22"/>
          <w:szCs w:val="22"/>
        </w:rPr>
        <w:t>ESTUDO TÉCNICO PRELIMINAR – ETP</w:t>
      </w:r>
    </w:p>
    <w:p w:rsidR="00C74777" w:rsidRDefault="00C74777" w:rsidP="00C74777">
      <w:pPr>
        <w:jc w:val="center"/>
        <w:rPr>
          <w:rFonts w:ascii="Arial" w:hAnsi="Arial" w:cs="Arial"/>
          <w:sz w:val="22"/>
          <w:szCs w:val="22"/>
        </w:rPr>
      </w:pPr>
    </w:p>
    <w:p w:rsidR="004F4AFA" w:rsidRPr="00027912" w:rsidRDefault="004F4AFA" w:rsidP="00C74777">
      <w:pPr>
        <w:jc w:val="center"/>
        <w:rPr>
          <w:rFonts w:ascii="Arial" w:hAnsi="Arial" w:cs="Arial"/>
          <w:sz w:val="22"/>
          <w:szCs w:val="22"/>
        </w:rPr>
      </w:pPr>
    </w:p>
    <w:p w:rsidR="00C54098" w:rsidRPr="00027912" w:rsidRDefault="00C54098" w:rsidP="00C54098">
      <w:pPr>
        <w:jc w:val="both"/>
        <w:rPr>
          <w:rFonts w:ascii="Arial" w:hAnsi="Arial" w:cs="Arial"/>
          <w:b/>
          <w:sz w:val="22"/>
          <w:szCs w:val="22"/>
        </w:rPr>
      </w:pPr>
      <w:r w:rsidRPr="00027912">
        <w:rPr>
          <w:rFonts w:ascii="Arial" w:hAnsi="Arial" w:cs="Arial"/>
          <w:b/>
          <w:sz w:val="22"/>
          <w:szCs w:val="22"/>
        </w:rPr>
        <w:t>Contratação de empresa para fornecimento de portas e janelas em alumínio e vidro, fechaduras e demais componentes para aberturas de bens imóveis da Administração Pública Municipal</w:t>
      </w:r>
    </w:p>
    <w:p w:rsidR="00C54098" w:rsidRPr="00027912" w:rsidRDefault="00C54098" w:rsidP="00C54098">
      <w:pPr>
        <w:jc w:val="both"/>
        <w:rPr>
          <w:rFonts w:ascii="Arial" w:hAnsi="Arial" w:cs="Arial"/>
          <w:b/>
          <w:sz w:val="22"/>
          <w:szCs w:val="22"/>
        </w:rPr>
      </w:pPr>
      <w:r w:rsidRPr="00027912">
        <w:rPr>
          <w:rFonts w:ascii="Arial" w:hAnsi="Arial" w:cs="Arial"/>
          <w:b/>
          <w:sz w:val="22"/>
          <w:szCs w:val="22"/>
        </w:rPr>
        <w:t>Município de Bom Sucesso do Sul – Paraná</w:t>
      </w:r>
      <w:r w:rsidRPr="00027912">
        <w:rPr>
          <w:rFonts w:ascii="Arial" w:hAnsi="Arial" w:cs="Arial"/>
          <w:b/>
          <w:sz w:val="22"/>
          <w:szCs w:val="22"/>
        </w:rPr>
        <w:br/>
        <w:t>Unidade Demandante: Secretaria Municipal de Administração e demais secretarias municipais</w:t>
      </w:r>
      <w:r w:rsidRPr="00027912">
        <w:rPr>
          <w:rFonts w:ascii="Arial" w:hAnsi="Arial" w:cs="Arial"/>
          <w:b/>
          <w:sz w:val="22"/>
          <w:szCs w:val="22"/>
        </w:rPr>
        <w:br/>
        <w:t>Data de elaboração:</w:t>
      </w:r>
      <w:r w:rsidR="00C74777" w:rsidRPr="00027912">
        <w:rPr>
          <w:rFonts w:ascii="Arial" w:hAnsi="Arial" w:cs="Arial"/>
          <w:b/>
          <w:sz w:val="22"/>
          <w:szCs w:val="22"/>
        </w:rPr>
        <w:t xml:space="preserve"> 13/03/2026</w:t>
      </w:r>
    </w:p>
    <w:p w:rsidR="00C74777" w:rsidRDefault="00C74777" w:rsidP="00C54098">
      <w:pPr>
        <w:jc w:val="both"/>
        <w:rPr>
          <w:rFonts w:ascii="Arial" w:hAnsi="Arial" w:cs="Arial"/>
          <w:b/>
          <w:sz w:val="22"/>
          <w:szCs w:val="22"/>
        </w:rPr>
      </w:pPr>
    </w:p>
    <w:p w:rsidR="004F4AFA" w:rsidRPr="00027912" w:rsidRDefault="004F4AFA" w:rsidP="00C54098">
      <w:pPr>
        <w:jc w:val="both"/>
        <w:rPr>
          <w:rFonts w:ascii="Arial" w:hAnsi="Arial" w:cs="Arial"/>
          <w:b/>
          <w:sz w:val="22"/>
          <w:szCs w:val="22"/>
        </w:rPr>
      </w:pPr>
    </w:p>
    <w:p w:rsidR="00C54098" w:rsidRPr="00027912" w:rsidRDefault="00C54098" w:rsidP="00C54098">
      <w:pPr>
        <w:numPr>
          <w:ilvl w:val="0"/>
          <w:numId w:val="21"/>
        </w:numPr>
        <w:spacing w:after="160" w:line="259" w:lineRule="auto"/>
        <w:jc w:val="both"/>
        <w:rPr>
          <w:rFonts w:ascii="Arial" w:hAnsi="Arial" w:cs="Arial"/>
          <w:b/>
          <w:sz w:val="22"/>
          <w:szCs w:val="22"/>
        </w:rPr>
      </w:pPr>
      <w:r w:rsidRPr="00027912">
        <w:rPr>
          <w:rFonts w:ascii="Arial" w:hAnsi="Arial" w:cs="Arial"/>
          <w:b/>
          <w:sz w:val="22"/>
          <w:szCs w:val="22"/>
        </w:rPr>
        <w:t>DESCRIÇÃO DA NECESSIDADE DA CONTRATAÇÃO</w:t>
      </w:r>
    </w:p>
    <w:p w:rsidR="00C54098" w:rsidRPr="00027912" w:rsidRDefault="00C54098" w:rsidP="00C54098">
      <w:pPr>
        <w:jc w:val="both"/>
        <w:rPr>
          <w:rFonts w:ascii="Arial" w:hAnsi="Arial" w:cs="Arial"/>
          <w:sz w:val="22"/>
          <w:szCs w:val="22"/>
        </w:rPr>
      </w:pPr>
      <w:r w:rsidRPr="00027912">
        <w:rPr>
          <w:rFonts w:ascii="Arial" w:hAnsi="Arial" w:cs="Arial"/>
          <w:sz w:val="22"/>
          <w:szCs w:val="22"/>
        </w:rPr>
        <w:t>O presente Estudo Técnico Preliminar tem por finalidade analisar e fundamentar a necessidade de contratação de empresa especializada para fornecimento de portas e janelas em alumínio e vidro, fechaduras, ferragens, trilhos, perfis, acessórios e demais componentes destinados às aberturas de bens imóveis pertencentes ao Município de Bom Sucesso do Sul – PR.</w:t>
      </w:r>
    </w:p>
    <w:p w:rsidR="00C54098" w:rsidRPr="00027912" w:rsidRDefault="00C54098" w:rsidP="00C54098">
      <w:pPr>
        <w:jc w:val="both"/>
        <w:rPr>
          <w:rFonts w:ascii="Arial" w:hAnsi="Arial" w:cs="Arial"/>
          <w:sz w:val="22"/>
          <w:szCs w:val="22"/>
        </w:rPr>
      </w:pPr>
      <w:r w:rsidRPr="00027912">
        <w:rPr>
          <w:rFonts w:ascii="Arial" w:hAnsi="Arial" w:cs="Arial"/>
          <w:sz w:val="22"/>
          <w:szCs w:val="22"/>
        </w:rPr>
        <w:t>A Administração Pública Municipal possui diversos prédios públicos, tais como escolas, unidades de saúde, centros administrativos, ginásios, unidades de assistência social, estruturas de apoio operacional e demais edificações utilizadas na prestação de serviços públicos. Esses imóveis demandam manutenção contínua, reformas periódicas e adequações estruturais, especialmente no que se refere a elementos construtivos como portas, janelas e componentes de vedação e segurança.</w:t>
      </w:r>
    </w:p>
    <w:p w:rsidR="00C54098" w:rsidRPr="00027912" w:rsidRDefault="00C54098" w:rsidP="00C54098">
      <w:pPr>
        <w:jc w:val="both"/>
        <w:rPr>
          <w:rFonts w:ascii="Arial" w:hAnsi="Arial" w:cs="Arial"/>
          <w:sz w:val="22"/>
          <w:szCs w:val="22"/>
        </w:rPr>
      </w:pPr>
      <w:r w:rsidRPr="00027912">
        <w:rPr>
          <w:rFonts w:ascii="Arial" w:hAnsi="Arial" w:cs="Arial"/>
          <w:sz w:val="22"/>
          <w:szCs w:val="22"/>
        </w:rPr>
        <w:t>Além disso, novas obras públicas e ampliações de estruturas existentes exigem o fornecimento desses materiais de forma constante e planejada. Considerando que a necessidade desses itens ocorre de forma recorrente, muitas vezes de maneira imprevisível quanto à quantidade exata e ao momento da demanda, torna-se necessário estabelecer mecanismo contratual que permita aquisições conforme a necessidade da Administração.</w:t>
      </w:r>
    </w:p>
    <w:p w:rsidR="00C54098" w:rsidRPr="00027912" w:rsidRDefault="00C54098" w:rsidP="00C54098">
      <w:pPr>
        <w:jc w:val="both"/>
        <w:rPr>
          <w:rFonts w:ascii="Arial" w:hAnsi="Arial" w:cs="Arial"/>
          <w:sz w:val="22"/>
          <w:szCs w:val="22"/>
        </w:rPr>
      </w:pPr>
      <w:r w:rsidRPr="00027912">
        <w:rPr>
          <w:rFonts w:ascii="Arial" w:hAnsi="Arial" w:cs="Arial"/>
          <w:sz w:val="22"/>
          <w:szCs w:val="22"/>
        </w:rPr>
        <w:t>Nesse contexto, a contratação de empresa especializada para fornecimento desses materiais permitirá garantir a continuidade das atividades administrativas e a adequada manutenção dos bens públicos, assegurando segurança, funcionalidade, conservação do patrimônio público e melhoria das condições de atendimento à população.</w:t>
      </w:r>
    </w:p>
    <w:p w:rsidR="00C74777" w:rsidRPr="00027912" w:rsidRDefault="00C74777" w:rsidP="00C54098">
      <w:pPr>
        <w:jc w:val="both"/>
        <w:rPr>
          <w:rFonts w:ascii="Arial" w:hAnsi="Arial" w:cs="Arial"/>
          <w:sz w:val="22"/>
          <w:szCs w:val="22"/>
        </w:rPr>
      </w:pPr>
    </w:p>
    <w:p w:rsidR="00C54098" w:rsidRPr="00027912" w:rsidRDefault="00C54098" w:rsidP="00C54098">
      <w:pPr>
        <w:numPr>
          <w:ilvl w:val="0"/>
          <w:numId w:val="22"/>
        </w:numPr>
        <w:spacing w:after="160" w:line="259" w:lineRule="auto"/>
        <w:jc w:val="both"/>
        <w:rPr>
          <w:rFonts w:ascii="Arial" w:hAnsi="Arial" w:cs="Arial"/>
          <w:b/>
          <w:sz w:val="22"/>
          <w:szCs w:val="22"/>
        </w:rPr>
      </w:pPr>
      <w:r w:rsidRPr="00027912">
        <w:rPr>
          <w:rFonts w:ascii="Arial" w:hAnsi="Arial" w:cs="Arial"/>
          <w:b/>
          <w:sz w:val="22"/>
          <w:szCs w:val="22"/>
        </w:rPr>
        <w:t>DEMONSTRAÇÃO DO INTERESSE PÚBLICO</w:t>
      </w:r>
    </w:p>
    <w:p w:rsidR="00C54098" w:rsidRPr="00027912" w:rsidRDefault="00C54098" w:rsidP="00C54098">
      <w:pPr>
        <w:jc w:val="both"/>
        <w:rPr>
          <w:rFonts w:ascii="Arial" w:hAnsi="Arial" w:cs="Arial"/>
          <w:sz w:val="22"/>
          <w:szCs w:val="22"/>
        </w:rPr>
      </w:pPr>
      <w:r w:rsidRPr="00027912">
        <w:rPr>
          <w:rFonts w:ascii="Arial" w:hAnsi="Arial" w:cs="Arial"/>
          <w:sz w:val="22"/>
          <w:szCs w:val="22"/>
        </w:rPr>
        <w:t>A contratação atende ao interesse público ao possibilitar a adequada manutenção e conservação dos imóveis públicos utilizados na prestação de serviços à população. A substituição ou instalação adequada de portas, janelas e sistemas de fechamento contribui para a segurança patrimonial, proteção contra intempéries, melhoria das condições estruturais dos prédios públicos e adequação às normas técnicas de construção civil.</w:t>
      </w:r>
    </w:p>
    <w:p w:rsidR="00C54098" w:rsidRPr="00027912" w:rsidRDefault="00C54098" w:rsidP="00C54098">
      <w:pPr>
        <w:jc w:val="both"/>
        <w:rPr>
          <w:rFonts w:ascii="Arial" w:hAnsi="Arial" w:cs="Arial"/>
          <w:sz w:val="22"/>
          <w:szCs w:val="22"/>
        </w:rPr>
      </w:pPr>
      <w:r w:rsidRPr="00027912">
        <w:rPr>
          <w:rFonts w:ascii="Arial" w:hAnsi="Arial" w:cs="Arial"/>
          <w:sz w:val="22"/>
          <w:szCs w:val="22"/>
        </w:rPr>
        <w:t>A ausência de fornecimento regular desses materiais pode gerar deterioração de estruturas, aumento de custos de manutenção corretiva, comprometimento da segurança dos usuários e interrupção de serviços públicos.</w:t>
      </w:r>
    </w:p>
    <w:p w:rsidR="00C54098" w:rsidRDefault="00C54098" w:rsidP="00C54098">
      <w:pPr>
        <w:jc w:val="both"/>
        <w:rPr>
          <w:rFonts w:ascii="Arial" w:hAnsi="Arial" w:cs="Arial"/>
          <w:sz w:val="22"/>
          <w:szCs w:val="22"/>
        </w:rPr>
      </w:pPr>
      <w:r w:rsidRPr="00027912">
        <w:rPr>
          <w:rFonts w:ascii="Arial" w:hAnsi="Arial" w:cs="Arial"/>
          <w:sz w:val="22"/>
          <w:szCs w:val="22"/>
        </w:rPr>
        <w:t>Assim, a contratação planejada desses itens contribui para a eficiência da gestão pública, para a preservação do patrimônio municipal e para o adequado funcionamento das unidades administrativas.</w:t>
      </w:r>
    </w:p>
    <w:p w:rsidR="00027912" w:rsidRDefault="00027912" w:rsidP="00C54098">
      <w:pPr>
        <w:jc w:val="both"/>
        <w:rPr>
          <w:rFonts w:ascii="Arial" w:hAnsi="Arial" w:cs="Arial"/>
          <w:sz w:val="22"/>
          <w:szCs w:val="22"/>
        </w:rPr>
      </w:pPr>
    </w:p>
    <w:p w:rsidR="004F4AFA" w:rsidRPr="00027912" w:rsidRDefault="004F4AFA" w:rsidP="00C54098">
      <w:pPr>
        <w:jc w:val="both"/>
        <w:rPr>
          <w:rFonts w:ascii="Arial" w:hAnsi="Arial" w:cs="Arial"/>
          <w:sz w:val="22"/>
          <w:szCs w:val="22"/>
        </w:rPr>
      </w:pPr>
    </w:p>
    <w:p w:rsidR="00C54098" w:rsidRPr="00027912" w:rsidRDefault="00C54098" w:rsidP="00C54098">
      <w:pPr>
        <w:numPr>
          <w:ilvl w:val="0"/>
          <w:numId w:val="23"/>
        </w:numPr>
        <w:spacing w:after="160" w:line="259" w:lineRule="auto"/>
        <w:jc w:val="both"/>
        <w:rPr>
          <w:rFonts w:ascii="Arial" w:hAnsi="Arial" w:cs="Arial"/>
          <w:b/>
          <w:sz w:val="22"/>
          <w:szCs w:val="22"/>
        </w:rPr>
      </w:pPr>
      <w:r w:rsidRPr="00027912">
        <w:rPr>
          <w:rFonts w:ascii="Arial" w:hAnsi="Arial" w:cs="Arial"/>
          <w:b/>
          <w:sz w:val="22"/>
          <w:szCs w:val="22"/>
        </w:rPr>
        <w:lastRenderedPageBreak/>
        <w:t>PREVISÃO NO PLANO DE CONTRATAÇÕES ANUAL</w:t>
      </w:r>
    </w:p>
    <w:p w:rsidR="00C54098" w:rsidRPr="00027912" w:rsidRDefault="00C54098" w:rsidP="00C54098">
      <w:pPr>
        <w:jc w:val="both"/>
        <w:rPr>
          <w:rFonts w:ascii="Arial" w:hAnsi="Arial" w:cs="Arial"/>
          <w:color w:val="EE0000"/>
          <w:sz w:val="22"/>
          <w:szCs w:val="22"/>
        </w:rPr>
      </w:pPr>
      <w:r w:rsidRPr="00027912">
        <w:rPr>
          <w:rFonts w:ascii="Arial" w:hAnsi="Arial" w:cs="Arial"/>
          <w:sz w:val="22"/>
          <w:szCs w:val="22"/>
        </w:rPr>
        <w:t xml:space="preserve">A contratação encontra previsão no Plano de Contratações Anual do Município de Bom Sucesso do Sul, instrumento de planejamento previsto na Lei nº 14.133/2021, que consolida as demandas de aquisição de bens e contratação de serviços necessários ao funcionamento da </w:t>
      </w:r>
      <w:r w:rsidR="005613D5" w:rsidRPr="00027912">
        <w:rPr>
          <w:rFonts w:ascii="Arial" w:hAnsi="Arial" w:cs="Arial"/>
          <w:sz w:val="22"/>
          <w:szCs w:val="22"/>
        </w:rPr>
        <w:t>Administração Pública Municipal, está descrito dentro do PCA número 39.</w:t>
      </w:r>
    </w:p>
    <w:p w:rsidR="00C74777" w:rsidRPr="00027912" w:rsidRDefault="00C74777" w:rsidP="00C54098">
      <w:pPr>
        <w:jc w:val="both"/>
        <w:rPr>
          <w:rFonts w:ascii="Arial" w:hAnsi="Arial" w:cs="Arial"/>
          <w:sz w:val="22"/>
          <w:szCs w:val="22"/>
        </w:rPr>
      </w:pPr>
    </w:p>
    <w:p w:rsidR="00C54098" w:rsidRPr="00027912" w:rsidRDefault="00C54098" w:rsidP="00C54098">
      <w:pPr>
        <w:numPr>
          <w:ilvl w:val="0"/>
          <w:numId w:val="24"/>
        </w:numPr>
        <w:spacing w:after="160" w:line="259" w:lineRule="auto"/>
        <w:jc w:val="both"/>
        <w:rPr>
          <w:rFonts w:ascii="Arial" w:hAnsi="Arial" w:cs="Arial"/>
          <w:b/>
          <w:sz w:val="22"/>
          <w:szCs w:val="22"/>
        </w:rPr>
      </w:pPr>
      <w:r w:rsidRPr="00027912">
        <w:rPr>
          <w:rFonts w:ascii="Arial" w:hAnsi="Arial" w:cs="Arial"/>
          <w:b/>
          <w:sz w:val="22"/>
          <w:szCs w:val="22"/>
        </w:rPr>
        <w:t>REQUISITOS DA CONTRATAÇÃO</w:t>
      </w:r>
    </w:p>
    <w:p w:rsidR="00C54098" w:rsidRPr="00027912" w:rsidRDefault="00C54098" w:rsidP="00C54098">
      <w:pPr>
        <w:jc w:val="both"/>
        <w:rPr>
          <w:rFonts w:ascii="Arial" w:hAnsi="Arial" w:cs="Arial"/>
          <w:sz w:val="22"/>
          <w:szCs w:val="22"/>
        </w:rPr>
      </w:pPr>
      <w:r w:rsidRPr="00027912">
        <w:rPr>
          <w:rFonts w:ascii="Arial" w:hAnsi="Arial" w:cs="Arial"/>
          <w:sz w:val="22"/>
          <w:szCs w:val="22"/>
        </w:rPr>
        <w:t>A empresa contratada deverá fornecer portas, janelas e demais componentes fabricados em alumínio, vidro e materiais correlatos, atendendo às especificações técnicas adequadas à construção civil e às normas técnicas aplicáveis.</w:t>
      </w:r>
    </w:p>
    <w:p w:rsidR="00C54098" w:rsidRPr="00027912" w:rsidRDefault="00C54098" w:rsidP="00C54098">
      <w:pPr>
        <w:jc w:val="both"/>
        <w:rPr>
          <w:rFonts w:ascii="Arial" w:hAnsi="Arial" w:cs="Arial"/>
          <w:sz w:val="22"/>
          <w:szCs w:val="22"/>
        </w:rPr>
      </w:pPr>
      <w:r w:rsidRPr="00027912">
        <w:rPr>
          <w:rFonts w:ascii="Arial" w:hAnsi="Arial" w:cs="Arial"/>
          <w:sz w:val="22"/>
          <w:szCs w:val="22"/>
        </w:rPr>
        <w:t>Os produtos deverão possuir características mínimas de qualidade, durabilidade e segurança, sendo exigido que estejam em conformidade com normas técnicas brasileiras aplicáveis, especialmente aquelas relacionadas à construção civil, esquadrias e vidros de segurança.</w:t>
      </w:r>
    </w:p>
    <w:p w:rsidR="00C54098" w:rsidRPr="00027912" w:rsidRDefault="00C54098" w:rsidP="00C54098">
      <w:pPr>
        <w:jc w:val="both"/>
        <w:rPr>
          <w:rFonts w:ascii="Arial" w:hAnsi="Arial" w:cs="Arial"/>
          <w:sz w:val="22"/>
          <w:szCs w:val="22"/>
        </w:rPr>
      </w:pPr>
      <w:r w:rsidRPr="00027912">
        <w:rPr>
          <w:rFonts w:ascii="Arial" w:hAnsi="Arial" w:cs="Arial"/>
          <w:sz w:val="22"/>
          <w:szCs w:val="22"/>
        </w:rPr>
        <w:t>Os materiais deverão ser novos, de primeiro uso, fabricados com matéria-prima de qualidade e adequados à instalação em edificações públicas.</w:t>
      </w:r>
    </w:p>
    <w:p w:rsidR="00C74777" w:rsidRPr="00027912" w:rsidRDefault="00C74777" w:rsidP="00C54098">
      <w:pPr>
        <w:jc w:val="both"/>
        <w:rPr>
          <w:rFonts w:ascii="Arial" w:hAnsi="Arial" w:cs="Arial"/>
          <w:sz w:val="22"/>
          <w:szCs w:val="22"/>
        </w:rPr>
      </w:pPr>
    </w:p>
    <w:p w:rsidR="00C54098" w:rsidRPr="00027912" w:rsidRDefault="00C54098" w:rsidP="00C54098">
      <w:pPr>
        <w:numPr>
          <w:ilvl w:val="0"/>
          <w:numId w:val="25"/>
        </w:numPr>
        <w:spacing w:after="160" w:line="259" w:lineRule="auto"/>
        <w:jc w:val="both"/>
        <w:rPr>
          <w:rFonts w:ascii="Arial" w:hAnsi="Arial" w:cs="Arial"/>
          <w:b/>
          <w:sz w:val="22"/>
          <w:szCs w:val="22"/>
        </w:rPr>
      </w:pPr>
      <w:r w:rsidRPr="00027912">
        <w:rPr>
          <w:rFonts w:ascii="Arial" w:hAnsi="Arial" w:cs="Arial"/>
          <w:b/>
          <w:sz w:val="22"/>
          <w:szCs w:val="22"/>
        </w:rPr>
        <w:t>ESTIMATIVA DAS QUANTIDADES</w:t>
      </w:r>
    </w:p>
    <w:p w:rsidR="00C54098" w:rsidRPr="00027912" w:rsidRDefault="00C54098" w:rsidP="00C54098">
      <w:pPr>
        <w:jc w:val="both"/>
        <w:rPr>
          <w:rFonts w:ascii="Arial" w:hAnsi="Arial" w:cs="Arial"/>
          <w:sz w:val="22"/>
          <w:szCs w:val="22"/>
        </w:rPr>
      </w:pPr>
      <w:r w:rsidRPr="00027912">
        <w:rPr>
          <w:rFonts w:ascii="Arial" w:hAnsi="Arial" w:cs="Arial"/>
          <w:sz w:val="22"/>
          <w:szCs w:val="22"/>
        </w:rPr>
        <w:t>As quantidades estimadas serão definidas com base no histórico de consumo do Município, nas demandas das secretarias municipais e nas necessidades de manutenção e reformas previstas para os imóveis públicos.</w:t>
      </w:r>
    </w:p>
    <w:p w:rsidR="00C54098" w:rsidRPr="00027912" w:rsidRDefault="00C54098" w:rsidP="00C54098">
      <w:pPr>
        <w:jc w:val="both"/>
        <w:rPr>
          <w:rFonts w:ascii="Arial" w:hAnsi="Arial" w:cs="Arial"/>
          <w:sz w:val="22"/>
          <w:szCs w:val="22"/>
        </w:rPr>
      </w:pPr>
      <w:r w:rsidRPr="00027912">
        <w:rPr>
          <w:rFonts w:ascii="Arial" w:hAnsi="Arial" w:cs="Arial"/>
          <w:sz w:val="22"/>
          <w:szCs w:val="22"/>
        </w:rPr>
        <w:t>Considerando que as necessidades podem variar ao longo do período contratual, especialmente em função de manutenções corretivas, reformas emergenciais ou novas obras, torna-se adequado adotar mecanismo que permita aquisições conforme a demanda da Administração.</w:t>
      </w:r>
    </w:p>
    <w:tbl>
      <w:tblPr>
        <w:tblStyle w:val="Tabelacomgrade"/>
        <w:tblW w:w="0" w:type="auto"/>
        <w:tblLook w:val="04A0" w:firstRow="1" w:lastRow="0" w:firstColumn="1" w:lastColumn="0" w:noHBand="0" w:noVBand="1"/>
      </w:tblPr>
      <w:tblGrid>
        <w:gridCol w:w="6158"/>
        <w:gridCol w:w="1219"/>
        <w:gridCol w:w="1683"/>
      </w:tblGrid>
      <w:tr w:rsidR="005613D5" w:rsidRPr="00027912" w:rsidTr="0097217D">
        <w:tc>
          <w:tcPr>
            <w:tcW w:w="6516" w:type="dxa"/>
          </w:tcPr>
          <w:p w:rsidR="005613D5" w:rsidRPr="00027912" w:rsidRDefault="005613D5" w:rsidP="0097217D">
            <w:pPr>
              <w:spacing w:line="276" w:lineRule="auto"/>
              <w:jc w:val="center"/>
              <w:rPr>
                <w:rFonts w:ascii="Arial" w:hAnsi="Arial" w:cs="Arial"/>
                <w:b/>
                <w:sz w:val="22"/>
                <w:szCs w:val="22"/>
              </w:rPr>
            </w:pPr>
            <w:r w:rsidRPr="00027912">
              <w:rPr>
                <w:rFonts w:ascii="Arial" w:hAnsi="Arial" w:cs="Arial"/>
                <w:b/>
                <w:sz w:val="22"/>
                <w:szCs w:val="22"/>
              </w:rPr>
              <w:t>DESCRIÇÃO</w:t>
            </w:r>
          </w:p>
        </w:tc>
        <w:tc>
          <w:tcPr>
            <w:tcW w:w="1128" w:type="dxa"/>
          </w:tcPr>
          <w:p w:rsidR="005613D5" w:rsidRPr="00027912" w:rsidRDefault="005613D5" w:rsidP="0097217D">
            <w:pPr>
              <w:spacing w:line="276" w:lineRule="auto"/>
              <w:jc w:val="center"/>
              <w:rPr>
                <w:rFonts w:ascii="Arial" w:hAnsi="Arial" w:cs="Arial"/>
                <w:b/>
                <w:sz w:val="22"/>
                <w:szCs w:val="22"/>
              </w:rPr>
            </w:pPr>
            <w:r w:rsidRPr="00027912">
              <w:rPr>
                <w:rFonts w:ascii="Arial" w:hAnsi="Arial" w:cs="Arial"/>
                <w:b/>
                <w:sz w:val="22"/>
                <w:szCs w:val="22"/>
              </w:rPr>
              <w:t>UNIDADE</w:t>
            </w:r>
          </w:p>
        </w:tc>
        <w:tc>
          <w:tcPr>
            <w:tcW w:w="1416" w:type="dxa"/>
          </w:tcPr>
          <w:p w:rsidR="005613D5" w:rsidRPr="00027912" w:rsidRDefault="005613D5" w:rsidP="0097217D">
            <w:pPr>
              <w:spacing w:line="276" w:lineRule="auto"/>
              <w:jc w:val="center"/>
              <w:rPr>
                <w:rFonts w:ascii="Arial" w:hAnsi="Arial" w:cs="Arial"/>
                <w:b/>
                <w:sz w:val="22"/>
                <w:szCs w:val="22"/>
              </w:rPr>
            </w:pPr>
            <w:r w:rsidRPr="00027912">
              <w:rPr>
                <w:rFonts w:ascii="Arial" w:hAnsi="Arial" w:cs="Arial"/>
                <w:b/>
                <w:sz w:val="22"/>
                <w:szCs w:val="22"/>
              </w:rPr>
              <w:t>QUANTIDADE</w:t>
            </w:r>
          </w:p>
        </w:tc>
      </w:tr>
      <w:tr w:rsidR="005613D5" w:rsidRPr="00027912" w:rsidTr="0097217D">
        <w:tc>
          <w:tcPr>
            <w:tcW w:w="6516" w:type="dxa"/>
          </w:tcPr>
          <w:p w:rsidR="005613D5" w:rsidRPr="00027912" w:rsidRDefault="005613D5" w:rsidP="0097217D">
            <w:pPr>
              <w:spacing w:line="276" w:lineRule="auto"/>
              <w:jc w:val="both"/>
              <w:rPr>
                <w:rFonts w:ascii="Arial" w:hAnsi="Arial" w:cs="Arial"/>
                <w:sz w:val="22"/>
                <w:szCs w:val="22"/>
              </w:rPr>
            </w:pPr>
            <w:r w:rsidRPr="00027912">
              <w:rPr>
                <w:rFonts w:ascii="Arial" w:hAnsi="Arial" w:cs="Arial"/>
                <w:sz w:val="22"/>
                <w:szCs w:val="22"/>
              </w:rPr>
              <w:t>Porta em alumínio de abrir com lambri, com guarnição, fixação com parafusos – fornecimento e instalação</w:t>
            </w:r>
          </w:p>
        </w:tc>
        <w:tc>
          <w:tcPr>
            <w:tcW w:w="1128" w:type="dxa"/>
          </w:tcPr>
          <w:p w:rsidR="005613D5" w:rsidRPr="00027912" w:rsidRDefault="005613D5" w:rsidP="0097217D">
            <w:pPr>
              <w:spacing w:line="276" w:lineRule="auto"/>
              <w:jc w:val="center"/>
              <w:rPr>
                <w:rFonts w:ascii="Arial" w:hAnsi="Arial" w:cs="Arial"/>
                <w:sz w:val="22"/>
                <w:szCs w:val="22"/>
              </w:rPr>
            </w:pPr>
          </w:p>
          <w:p w:rsidR="005613D5" w:rsidRPr="00027912" w:rsidRDefault="005613D5" w:rsidP="0097217D">
            <w:pPr>
              <w:spacing w:line="276" w:lineRule="auto"/>
              <w:jc w:val="center"/>
              <w:rPr>
                <w:rFonts w:ascii="Arial" w:hAnsi="Arial" w:cs="Arial"/>
                <w:sz w:val="22"/>
                <w:szCs w:val="22"/>
              </w:rPr>
            </w:pPr>
            <w:proofErr w:type="gramStart"/>
            <w:r w:rsidRPr="00027912">
              <w:rPr>
                <w:rFonts w:ascii="Arial" w:hAnsi="Arial" w:cs="Arial"/>
                <w:sz w:val="22"/>
                <w:szCs w:val="22"/>
              </w:rPr>
              <w:t>m</w:t>
            </w:r>
            <w:proofErr w:type="gramEnd"/>
            <w:r w:rsidRPr="00027912">
              <w:rPr>
                <w:rFonts w:ascii="Arial" w:hAnsi="Arial" w:cs="Arial"/>
                <w:sz w:val="22"/>
                <w:szCs w:val="22"/>
              </w:rPr>
              <w:t>2</w:t>
            </w:r>
          </w:p>
        </w:tc>
        <w:tc>
          <w:tcPr>
            <w:tcW w:w="1416" w:type="dxa"/>
          </w:tcPr>
          <w:p w:rsidR="005613D5" w:rsidRPr="00027912" w:rsidRDefault="005613D5" w:rsidP="0097217D">
            <w:pPr>
              <w:spacing w:line="276" w:lineRule="auto"/>
              <w:jc w:val="center"/>
              <w:rPr>
                <w:rFonts w:ascii="Arial" w:hAnsi="Arial" w:cs="Arial"/>
                <w:sz w:val="22"/>
                <w:szCs w:val="22"/>
              </w:rPr>
            </w:pPr>
          </w:p>
          <w:p w:rsidR="005613D5" w:rsidRPr="00027912" w:rsidRDefault="005613D5" w:rsidP="0097217D">
            <w:pPr>
              <w:spacing w:line="276" w:lineRule="auto"/>
              <w:jc w:val="center"/>
              <w:rPr>
                <w:rFonts w:ascii="Arial" w:hAnsi="Arial" w:cs="Arial"/>
                <w:sz w:val="22"/>
                <w:szCs w:val="22"/>
              </w:rPr>
            </w:pPr>
            <w:r w:rsidRPr="00027912">
              <w:rPr>
                <w:rFonts w:ascii="Arial" w:hAnsi="Arial" w:cs="Arial"/>
                <w:sz w:val="22"/>
                <w:szCs w:val="22"/>
              </w:rPr>
              <w:t>100,00</w:t>
            </w:r>
          </w:p>
        </w:tc>
      </w:tr>
      <w:tr w:rsidR="005613D5" w:rsidRPr="00027912" w:rsidTr="0097217D">
        <w:tc>
          <w:tcPr>
            <w:tcW w:w="6516" w:type="dxa"/>
          </w:tcPr>
          <w:p w:rsidR="005613D5" w:rsidRPr="00027912" w:rsidRDefault="005613D5" w:rsidP="0097217D">
            <w:pPr>
              <w:spacing w:line="276" w:lineRule="auto"/>
              <w:jc w:val="both"/>
              <w:rPr>
                <w:rFonts w:ascii="Arial" w:hAnsi="Arial" w:cs="Arial"/>
                <w:sz w:val="22"/>
                <w:szCs w:val="22"/>
              </w:rPr>
            </w:pPr>
            <w:r w:rsidRPr="00027912">
              <w:rPr>
                <w:rFonts w:ascii="Arial" w:hAnsi="Arial" w:cs="Arial"/>
                <w:sz w:val="22"/>
                <w:szCs w:val="22"/>
              </w:rPr>
              <w:t>Porta em alumínio de abrir tipo veneziana, com guarnição, fixação com parafusos – fornecimento e instalação</w:t>
            </w:r>
          </w:p>
        </w:tc>
        <w:tc>
          <w:tcPr>
            <w:tcW w:w="1128" w:type="dxa"/>
          </w:tcPr>
          <w:p w:rsidR="005613D5" w:rsidRPr="00027912" w:rsidRDefault="005613D5" w:rsidP="0097217D">
            <w:pPr>
              <w:spacing w:line="276" w:lineRule="auto"/>
              <w:jc w:val="center"/>
              <w:rPr>
                <w:rFonts w:ascii="Arial" w:hAnsi="Arial" w:cs="Arial"/>
                <w:sz w:val="22"/>
                <w:szCs w:val="22"/>
              </w:rPr>
            </w:pPr>
          </w:p>
          <w:p w:rsidR="005613D5" w:rsidRPr="00027912" w:rsidRDefault="005613D5" w:rsidP="0097217D">
            <w:pPr>
              <w:spacing w:line="276" w:lineRule="auto"/>
              <w:jc w:val="center"/>
              <w:rPr>
                <w:rFonts w:ascii="Arial" w:hAnsi="Arial" w:cs="Arial"/>
                <w:sz w:val="22"/>
                <w:szCs w:val="22"/>
              </w:rPr>
            </w:pPr>
            <w:proofErr w:type="gramStart"/>
            <w:r w:rsidRPr="00027912">
              <w:rPr>
                <w:rFonts w:ascii="Arial" w:hAnsi="Arial" w:cs="Arial"/>
                <w:sz w:val="22"/>
                <w:szCs w:val="22"/>
              </w:rPr>
              <w:t>m</w:t>
            </w:r>
            <w:proofErr w:type="gramEnd"/>
            <w:r w:rsidRPr="00027912">
              <w:rPr>
                <w:rFonts w:ascii="Arial" w:hAnsi="Arial" w:cs="Arial"/>
                <w:sz w:val="22"/>
                <w:szCs w:val="22"/>
              </w:rPr>
              <w:t>2</w:t>
            </w:r>
          </w:p>
        </w:tc>
        <w:tc>
          <w:tcPr>
            <w:tcW w:w="1416" w:type="dxa"/>
          </w:tcPr>
          <w:p w:rsidR="005613D5" w:rsidRPr="00027912" w:rsidRDefault="005613D5" w:rsidP="0097217D">
            <w:pPr>
              <w:spacing w:line="276" w:lineRule="auto"/>
              <w:jc w:val="center"/>
              <w:rPr>
                <w:rFonts w:ascii="Arial" w:hAnsi="Arial" w:cs="Arial"/>
                <w:sz w:val="22"/>
                <w:szCs w:val="22"/>
              </w:rPr>
            </w:pPr>
          </w:p>
          <w:p w:rsidR="005613D5" w:rsidRPr="00027912" w:rsidRDefault="005613D5" w:rsidP="0097217D">
            <w:pPr>
              <w:spacing w:line="276" w:lineRule="auto"/>
              <w:jc w:val="center"/>
              <w:rPr>
                <w:rFonts w:ascii="Arial" w:hAnsi="Arial" w:cs="Arial"/>
                <w:sz w:val="22"/>
                <w:szCs w:val="22"/>
              </w:rPr>
            </w:pPr>
            <w:r w:rsidRPr="00027912">
              <w:rPr>
                <w:rFonts w:ascii="Arial" w:hAnsi="Arial" w:cs="Arial"/>
                <w:sz w:val="22"/>
                <w:szCs w:val="22"/>
              </w:rPr>
              <w:t>100,00</w:t>
            </w:r>
          </w:p>
        </w:tc>
      </w:tr>
      <w:tr w:rsidR="005613D5" w:rsidRPr="00027912" w:rsidTr="0097217D">
        <w:tc>
          <w:tcPr>
            <w:tcW w:w="6516" w:type="dxa"/>
          </w:tcPr>
          <w:p w:rsidR="005613D5" w:rsidRPr="00027912" w:rsidRDefault="005613D5" w:rsidP="0097217D">
            <w:pPr>
              <w:spacing w:line="276" w:lineRule="auto"/>
              <w:jc w:val="both"/>
              <w:rPr>
                <w:rFonts w:ascii="Arial" w:hAnsi="Arial" w:cs="Arial"/>
                <w:sz w:val="22"/>
                <w:szCs w:val="22"/>
              </w:rPr>
            </w:pPr>
            <w:r w:rsidRPr="00027912">
              <w:rPr>
                <w:rFonts w:ascii="Arial" w:hAnsi="Arial" w:cs="Arial"/>
                <w:sz w:val="22"/>
                <w:szCs w:val="22"/>
              </w:rPr>
              <w:t>Fechadura de embutir para portas, completa, acabamento padrão médio, com execução de furo, fornecimento e instalação</w:t>
            </w:r>
          </w:p>
        </w:tc>
        <w:tc>
          <w:tcPr>
            <w:tcW w:w="1128" w:type="dxa"/>
          </w:tcPr>
          <w:p w:rsidR="005613D5" w:rsidRPr="00027912" w:rsidRDefault="005613D5" w:rsidP="0097217D">
            <w:pPr>
              <w:spacing w:line="276" w:lineRule="auto"/>
              <w:jc w:val="center"/>
              <w:rPr>
                <w:rFonts w:ascii="Arial" w:hAnsi="Arial" w:cs="Arial"/>
                <w:sz w:val="22"/>
                <w:szCs w:val="22"/>
              </w:rPr>
            </w:pPr>
          </w:p>
          <w:p w:rsidR="005613D5" w:rsidRPr="00027912" w:rsidRDefault="005613D5" w:rsidP="0097217D">
            <w:pPr>
              <w:spacing w:line="276" w:lineRule="auto"/>
              <w:jc w:val="center"/>
              <w:rPr>
                <w:rFonts w:ascii="Arial" w:hAnsi="Arial" w:cs="Arial"/>
                <w:sz w:val="22"/>
                <w:szCs w:val="22"/>
              </w:rPr>
            </w:pPr>
            <w:proofErr w:type="spellStart"/>
            <w:proofErr w:type="gramStart"/>
            <w:r w:rsidRPr="00027912">
              <w:rPr>
                <w:rFonts w:ascii="Arial" w:hAnsi="Arial" w:cs="Arial"/>
                <w:sz w:val="22"/>
                <w:szCs w:val="22"/>
              </w:rPr>
              <w:t>ud</w:t>
            </w:r>
            <w:proofErr w:type="spellEnd"/>
            <w:proofErr w:type="gramEnd"/>
          </w:p>
        </w:tc>
        <w:tc>
          <w:tcPr>
            <w:tcW w:w="1416" w:type="dxa"/>
          </w:tcPr>
          <w:p w:rsidR="005613D5" w:rsidRPr="00027912" w:rsidRDefault="005613D5" w:rsidP="0097217D">
            <w:pPr>
              <w:spacing w:line="276" w:lineRule="auto"/>
              <w:jc w:val="center"/>
              <w:rPr>
                <w:rFonts w:ascii="Arial" w:hAnsi="Arial" w:cs="Arial"/>
                <w:sz w:val="22"/>
                <w:szCs w:val="22"/>
              </w:rPr>
            </w:pPr>
          </w:p>
          <w:p w:rsidR="005613D5" w:rsidRPr="00027912" w:rsidRDefault="005613D5" w:rsidP="0097217D">
            <w:pPr>
              <w:spacing w:line="276" w:lineRule="auto"/>
              <w:jc w:val="center"/>
              <w:rPr>
                <w:rFonts w:ascii="Arial" w:hAnsi="Arial" w:cs="Arial"/>
                <w:sz w:val="22"/>
                <w:szCs w:val="22"/>
              </w:rPr>
            </w:pPr>
            <w:r w:rsidRPr="00027912">
              <w:rPr>
                <w:rFonts w:ascii="Arial" w:hAnsi="Arial" w:cs="Arial"/>
                <w:sz w:val="22"/>
                <w:szCs w:val="22"/>
              </w:rPr>
              <w:t>106,00</w:t>
            </w:r>
          </w:p>
        </w:tc>
      </w:tr>
      <w:tr w:rsidR="005613D5" w:rsidRPr="00027912" w:rsidTr="0097217D">
        <w:tc>
          <w:tcPr>
            <w:tcW w:w="6516" w:type="dxa"/>
          </w:tcPr>
          <w:p w:rsidR="005613D5" w:rsidRPr="00027912" w:rsidRDefault="005613D5" w:rsidP="0097217D">
            <w:pPr>
              <w:spacing w:line="276" w:lineRule="auto"/>
              <w:jc w:val="both"/>
              <w:rPr>
                <w:rFonts w:ascii="Arial" w:hAnsi="Arial" w:cs="Arial"/>
                <w:sz w:val="22"/>
                <w:szCs w:val="22"/>
              </w:rPr>
            </w:pPr>
            <w:r w:rsidRPr="00027912">
              <w:rPr>
                <w:rFonts w:ascii="Arial" w:hAnsi="Arial" w:cs="Arial"/>
                <w:sz w:val="22"/>
                <w:szCs w:val="22"/>
              </w:rPr>
              <w:t xml:space="preserve">Porta </w:t>
            </w:r>
            <w:proofErr w:type="spellStart"/>
            <w:r w:rsidRPr="00027912">
              <w:rPr>
                <w:rFonts w:ascii="Arial" w:hAnsi="Arial" w:cs="Arial"/>
                <w:sz w:val="22"/>
                <w:szCs w:val="22"/>
              </w:rPr>
              <w:t>pivotante</w:t>
            </w:r>
            <w:proofErr w:type="spellEnd"/>
            <w:r w:rsidRPr="00027912">
              <w:rPr>
                <w:rFonts w:ascii="Arial" w:hAnsi="Arial" w:cs="Arial"/>
                <w:sz w:val="22"/>
                <w:szCs w:val="22"/>
              </w:rPr>
              <w:t xml:space="preserve"> de vidro temperado, 90x210cm, espessura de 10 mm, incolor e/ou fumê, inclusive acessórios de fixação, fechadura, fornecimento e instalação</w:t>
            </w:r>
          </w:p>
        </w:tc>
        <w:tc>
          <w:tcPr>
            <w:tcW w:w="1128" w:type="dxa"/>
          </w:tcPr>
          <w:p w:rsidR="005613D5" w:rsidRPr="00027912" w:rsidRDefault="005613D5" w:rsidP="0097217D">
            <w:pPr>
              <w:spacing w:line="276" w:lineRule="auto"/>
              <w:jc w:val="center"/>
              <w:rPr>
                <w:rFonts w:ascii="Arial" w:hAnsi="Arial" w:cs="Arial"/>
                <w:sz w:val="22"/>
                <w:szCs w:val="22"/>
              </w:rPr>
            </w:pPr>
          </w:p>
          <w:p w:rsidR="005613D5" w:rsidRPr="00027912" w:rsidRDefault="005613D5" w:rsidP="0097217D">
            <w:pPr>
              <w:spacing w:line="276" w:lineRule="auto"/>
              <w:jc w:val="center"/>
              <w:rPr>
                <w:rFonts w:ascii="Arial" w:hAnsi="Arial" w:cs="Arial"/>
                <w:sz w:val="22"/>
                <w:szCs w:val="22"/>
              </w:rPr>
            </w:pPr>
            <w:proofErr w:type="spellStart"/>
            <w:proofErr w:type="gramStart"/>
            <w:r w:rsidRPr="00027912">
              <w:rPr>
                <w:rFonts w:ascii="Arial" w:hAnsi="Arial" w:cs="Arial"/>
                <w:sz w:val="22"/>
                <w:szCs w:val="22"/>
              </w:rPr>
              <w:t>ud</w:t>
            </w:r>
            <w:proofErr w:type="spellEnd"/>
            <w:proofErr w:type="gramEnd"/>
          </w:p>
        </w:tc>
        <w:tc>
          <w:tcPr>
            <w:tcW w:w="1416" w:type="dxa"/>
          </w:tcPr>
          <w:p w:rsidR="005613D5" w:rsidRPr="00027912" w:rsidRDefault="005613D5" w:rsidP="0097217D">
            <w:pPr>
              <w:spacing w:line="276" w:lineRule="auto"/>
              <w:jc w:val="center"/>
              <w:rPr>
                <w:rFonts w:ascii="Arial" w:hAnsi="Arial" w:cs="Arial"/>
                <w:sz w:val="22"/>
                <w:szCs w:val="22"/>
              </w:rPr>
            </w:pPr>
          </w:p>
          <w:p w:rsidR="005613D5" w:rsidRPr="00027912" w:rsidRDefault="005613D5" w:rsidP="0097217D">
            <w:pPr>
              <w:spacing w:line="276" w:lineRule="auto"/>
              <w:jc w:val="center"/>
              <w:rPr>
                <w:rFonts w:ascii="Arial" w:hAnsi="Arial" w:cs="Arial"/>
                <w:sz w:val="22"/>
                <w:szCs w:val="22"/>
              </w:rPr>
            </w:pPr>
            <w:r w:rsidRPr="00027912">
              <w:rPr>
                <w:rFonts w:ascii="Arial" w:hAnsi="Arial" w:cs="Arial"/>
                <w:sz w:val="22"/>
                <w:szCs w:val="22"/>
              </w:rPr>
              <w:t>20,00</w:t>
            </w:r>
          </w:p>
        </w:tc>
      </w:tr>
      <w:tr w:rsidR="005613D5" w:rsidRPr="00027912" w:rsidTr="0097217D">
        <w:tc>
          <w:tcPr>
            <w:tcW w:w="6516" w:type="dxa"/>
          </w:tcPr>
          <w:p w:rsidR="005613D5" w:rsidRPr="00027912" w:rsidRDefault="005613D5" w:rsidP="0097217D">
            <w:pPr>
              <w:spacing w:line="276" w:lineRule="auto"/>
              <w:jc w:val="both"/>
              <w:rPr>
                <w:rFonts w:ascii="Arial" w:hAnsi="Arial" w:cs="Arial"/>
                <w:sz w:val="22"/>
                <w:szCs w:val="22"/>
              </w:rPr>
            </w:pPr>
            <w:r w:rsidRPr="00027912">
              <w:rPr>
                <w:rFonts w:ascii="Arial" w:hAnsi="Arial" w:cs="Arial"/>
                <w:sz w:val="22"/>
                <w:szCs w:val="22"/>
              </w:rPr>
              <w:t>Porta de abrir 2 folhas, vidro temperado, espessura de 10 mm, incolor e/ou fumê, inclusive acessórios de fixação, fechadura, fornecimento e instalação</w:t>
            </w:r>
          </w:p>
        </w:tc>
        <w:tc>
          <w:tcPr>
            <w:tcW w:w="1128" w:type="dxa"/>
          </w:tcPr>
          <w:p w:rsidR="005613D5" w:rsidRPr="00027912" w:rsidRDefault="005613D5" w:rsidP="0097217D">
            <w:pPr>
              <w:spacing w:line="276" w:lineRule="auto"/>
              <w:jc w:val="center"/>
              <w:rPr>
                <w:rFonts w:ascii="Arial" w:hAnsi="Arial" w:cs="Arial"/>
                <w:sz w:val="22"/>
                <w:szCs w:val="22"/>
              </w:rPr>
            </w:pPr>
          </w:p>
          <w:p w:rsidR="005613D5" w:rsidRPr="00027912" w:rsidRDefault="005613D5" w:rsidP="0097217D">
            <w:pPr>
              <w:spacing w:line="276" w:lineRule="auto"/>
              <w:jc w:val="center"/>
              <w:rPr>
                <w:rFonts w:ascii="Arial" w:hAnsi="Arial" w:cs="Arial"/>
                <w:sz w:val="22"/>
                <w:szCs w:val="22"/>
              </w:rPr>
            </w:pPr>
            <w:proofErr w:type="gramStart"/>
            <w:r w:rsidRPr="00027912">
              <w:rPr>
                <w:rFonts w:ascii="Arial" w:hAnsi="Arial" w:cs="Arial"/>
                <w:sz w:val="22"/>
                <w:szCs w:val="22"/>
              </w:rPr>
              <w:t>m</w:t>
            </w:r>
            <w:proofErr w:type="gramEnd"/>
            <w:r w:rsidRPr="00027912">
              <w:rPr>
                <w:rFonts w:ascii="Arial" w:hAnsi="Arial" w:cs="Arial"/>
                <w:sz w:val="22"/>
                <w:szCs w:val="22"/>
              </w:rPr>
              <w:t>2</w:t>
            </w:r>
          </w:p>
        </w:tc>
        <w:tc>
          <w:tcPr>
            <w:tcW w:w="1416" w:type="dxa"/>
          </w:tcPr>
          <w:p w:rsidR="005613D5" w:rsidRPr="00027912" w:rsidRDefault="005613D5" w:rsidP="0097217D">
            <w:pPr>
              <w:spacing w:line="276" w:lineRule="auto"/>
              <w:jc w:val="center"/>
              <w:rPr>
                <w:rFonts w:ascii="Arial" w:hAnsi="Arial" w:cs="Arial"/>
                <w:sz w:val="22"/>
                <w:szCs w:val="22"/>
              </w:rPr>
            </w:pPr>
          </w:p>
          <w:p w:rsidR="005613D5" w:rsidRPr="00027912" w:rsidRDefault="005613D5" w:rsidP="0097217D">
            <w:pPr>
              <w:spacing w:line="276" w:lineRule="auto"/>
              <w:jc w:val="center"/>
              <w:rPr>
                <w:rFonts w:ascii="Arial" w:hAnsi="Arial" w:cs="Arial"/>
                <w:sz w:val="22"/>
                <w:szCs w:val="22"/>
              </w:rPr>
            </w:pPr>
            <w:r w:rsidRPr="00027912">
              <w:rPr>
                <w:rFonts w:ascii="Arial" w:hAnsi="Arial" w:cs="Arial"/>
                <w:sz w:val="22"/>
                <w:szCs w:val="22"/>
              </w:rPr>
              <w:t>80,00</w:t>
            </w:r>
          </w:p>
        </w:tc>
      </w:tr>
      <w:tr w:rsidR="005613D5" w:rsidRPr="00027912" w:rsidTr="0097217D">
        <w:tc>
          <w:tcPr>
            <w:tcW w:w="6516" w:type="dxa"/>
          </w:tcPr>
          <w:p w:rsidR="005613D5" w:rsidRPr="00027912" w:rsidRDefault="005613D5" w:rsidP="0097217D">
            <w:pPr>
              <w:spacing w:line="276" w:lineRule="auto"/>
              <w:jc w:val="both"/>
              <w:rPr>
                <w:rFonts w:ascii="Arial" w:hAnsi="Arial" w:cs="Arial"/>
                <w:sz w:val="22"/>
                <w:szCs w:val="22"/>
              </w:rPr>
            </w:pPr>
            <w:r w:rsidRPr="00027912">
              <w:rPr>
                <w:rFonts w:ascii="Arial" w:hAnsi="Arial" w:cs="Arial"/>
                <w:sz w:val="22"/>
                <w:szCs w:val="22"/>
              </w:rPr>
              <w:t>Janela de corre em vidro temperado, espessura de 8mm, incolor e/ou fumê, 4 folhas, inclusive acessório de fixação, fecho, fornecimento e instalação</w:t>
            </w:r>
          </w:p>
        </w:tc>
        <w:tc>
          <w:tcPr>
            <w:tcW w:w="1128" w:type="dxa"/>
          </w:tcPr>
          <w:p w:rsidR="005613D5" w:rsidRPr="00027912" w:rsidRDefault="005613D5" w:rsidP="0097217D">
            <w:pPr>
              <w:spacing w:line="276" w:lineRule="auto"/>
              <w:jc w:val="center"/>
              <w:rPr>
                <w:rFonts w:ascii="Arial" w:hAnsi="Arial" w:cs="Arial"/>
                <w:sz w:val="22"/>
                <w:szCs w:val="22"/>
              </w:rPr>
            </w:pPr>
          </w:p>
          <w:p w:rsidR="005613D5" w:rsidRPr="00027912" w:rsidRDefault="005613D5" w:rsidP="0097217D">
            <w:pPr>
              <w:spacing w:line="276" w:lineRule="auto"/>
              <w:jc w:val="center"/>
              <w:rPr>
                <w:rFonts w:ascii="Arial" w:hAnsi="Arial" w:cs="Arial"/>
                <w:sz w:val="22"/>
                <w:szCs w:val="22"/>
              </w:rPr>
            </w:pPr>
            <w:proofErr w:type="gramStart"/>
            <w:r w:rsidRPr="00027912">
              <w:rPr>
                <w:rFonts w:ascii="Arial" w:hAnsi="Arial" w:cs="Arial"/>
                <w:sz w:val="22"/>
                <w:szCs w:val="22"/>
              </w:rPr>
              <w:t>m</w:t>
            </w:r>
            <w:proofErr w:type="gramEnd"/>
            <w:r w:rsidRPr="00027912">
              <w:rPr>
                <w:rFonts w:ascii="Arial" w:hAnsi="Arial" w:cs="Arial"/>
                <w:sz w:val="22"/>
                <w:szCs w:val="22"/>
              </w:rPr>
              <w:t>2</w:t>
            </w:r>
          </w:p>
        </w:tc>
        <w:tc>
          <w:tcPr>
            <w:tcW w:w="1416" w:type="dxa"/>
          </w:tcPr>
          <w:p w:rsidR="005613D5" w:rsidRPr="00027912" w:rsidRDefault="005613D5" w:rsidP="0097217D">
            <w:pPr>
              <w:spacing w:line="276" w:lineRule="auto"/>
              <w:jc w:val="center"/>
              <w:rPr>
                <w:rFonts w:ascii="Arial" w:hAnsi="Arial" w:cs="Arial"/>
                <w:sz w:val="22"/>
                <w:szCs w:val="22"/>
              </w:rPr>
            </w:pPr>
          </w:p>
          <w:p w:rsidR="005613D5" w:rsidRPr="00027912" w:rsidRDefault="005613D5" w:rsidP="0097217D">
            <w:pPr>
              <w:spacing w:line="276" w:lineRule="auto"/>
              <w:jc w:val="center"/>
              <w:rPr>
                <w:rFonts w:ascii="Arial" w:hAnsi="Arial" w:cs="Arial"/>
                <w:sz w:val="22"/>
                <w:szCs w:val="22"/>
              </w:rPr>
            </w:pPr>
            <w:r w:rsidRPr="00027912">
              <w:rPr>
                <w:rFonts w:ascii="Arial" w:hAnsi="Arial" w:cs="Arial"/>
                <w:sz w:val="22"/>
                <w:szCs w:val="22"/>
              </w:rPr>
              <w:t>60,00</w:t>
            </w:r>
          </w:p>
        </w:tc>
      </w:tr>
      <w:tr w:rsidR="005613D5" w:rsidRPr="00027912" w:rsidTr="0097217D">
        <w:tc>
          <w:tcPr>
            <w:tcW w:w="6516" w:type="dxa"/>
          </w:tcPr>
          <w:p w:rsidR="005613D5" w:rsidRPr="00027912" w:rsidRDefault="005613D5" w:rsidP="0097217D">
            <w:pPr>
              <w:spacing w:line="276" w:lineRule="auto"/>
              <w:jc w:val="both"/>
              <w:rPr>
                <w:rFonts w:ascii="Arial" w:hAnsi="Arial" w:cs="Arial"/>
                <w:sz w:val="22"/>
                <w:szCs w:val="22"/>
              </w:rPr>
            </w:pPr>
            <w:r w:rsidRPr="00027912">
              <w:rPr>
                <w:rFonts w:ascii="Arial" w:hAnsi="Arial" w:cs="Arial"/>
                <w:sz w:val="22"/>
                <w:szCs w:val="22"/>
              </w:rPr>
              <w:t xml:space="preserve">Janela </w:t>
            </w:r>
            <w:proofErr w:type="spellStart"/>
            <w:r w:rsidRPr="00027912">
              <w:rPr>
                <w:rFonts w:ascii="Arial" w:hAnsi="Arial" w:cs="Arial"/>
                <w:sz w:val="22"/>
                <w:szCs w:val="22"/>
              </w:rPr>
              <w:t>maxim-ar</w:t>
            </w:r>
            <w:proofErr w:type="spellEnd"/>
            <w:r w:rsidRPr="00027912">
              <w:rPr>
                <w:rFonts w:ascii="Arial" w:hAnsi="Arial" w:cs="Arial"/>
                <w:sz w:val="22"/>
                <w:szCs w:val="22"/>
              </w:rPr>
              <w:t>, vidro temperado, espessura de 6mm, incolor e/ou fumê, 4 folhas, inclusive acessório de fixação, fecho, fornecimento e instalação</w:t>
            </w:r>
          </w:p>
        </w:tc>
        <w:tc>
          <w:tcPr>
            <w:tcW w:w="1128" w:type="dxa"/>
          </w:tcPr>
          <w:p w:rsidR="005613D5" w:rsidRPr="00027912" w:rsidRDefault="005613D5" w:rsidP="0097217D">
            <w:pPr>
              <w:spacing w:line="276" w:lineRule="auto"/>
              <w:jc w:val="center"/>
              <w:rPr>
                <w:rFonts w:ascii="Arial" w:hAnsi="Arial" w:cs="Arial"/>
                <w:sz w:val="22"/>
                <w:szCs w:val="22"/>
              </w:rPr>
            </w:pPr>
          </w:p>
          <w:p w:rsidR="005613D5" w:rsidRPr="00027912" w:rsidRDefault="005613D5" w:rsidP="0097217D">
            <w:pPr>
              <w:spacing w:line="276" w:lineRule="auto"/>
              <w:jc w:val="center"/>
              <w:rPr>
                <w:rFonts w:ascii="Arial" w:hAnsi="Arial" w:cs="Arial"/>
                <w:sz w:val="22"/>
                <w:szCs w:val="22"/>
              </w:rPr>
            </w:pPr>
            <w:proofErr w:type="gramStart"/>
            <w:r w:rsidRPr="00027912">
              <w:rPr>
                <w:rFonts w:ascii="Arial" w:hAnsi="Arial" w:cs="Arial"/>
                <w:sz w:val="22"/>
                <w:szCs w:val="22"/>
              </w:rPr>
              <w:t>m</w:t>
            </w:r>
            <w:proofErr w:type="gramEnd"/>
            <w:r w:rsidRPr="00027912">
              <w:rPr>
                <w:rFonts w:ascii="Arial" w:hAnsi="Arial" w:cs="Arial"/>
                <w:sz w:val="22"/>
                <w:szCs w:val="22"/>
              </w:rPr>
              <w:t>2</w:t>
            </w:r>
          </w:p>
        </w:tc>
        <w:tc>
          <w:tcPr>
            <w:tcW w:w="1416" w:type="dxa"/>
          </w:tcPr>
          <w:p w:rsidR="005613D5" w:rsidRPr="00027912" w:rsidRDefault="005613D5" w:rsidP="0097217D">
            <w:pPr>
              <w:spacing w:line="276" w:lineRule="auto"/>
              <w:jc w:val="center"/>
              <w:rPr>
                <w:rFonts w:ascii="Arial" w:hAnsi="Arial" w:cs="Arial"/>
                <w:sz w:val="22"/>
                <w:szCs w:val="22"/>
              </w:rPr>
            </w:pPr>
          </w:p>
          <w:p w:rsidR="005613D5" w:rsidRPr="00027912" w:rsidRDefault="005613D5" w:rsidP="0097217D">
            <w:pPr>
              <w:spacing w:line="276" w:lineRule="auto"/>
              <w:jc w:val="center"/>
              <w:rPr>
                <w:rFonts w:ascii="Arial" w:hAnsi="Arial" w:cs="Arial"/>
                <w:sz w:val="22"/>
                <w:szCs w:val="22"/>
              </w:rPr>
            </w:pPr>
            <w:r w:rsidRPr="00027912">
              <w:rPr>
                <w:rFonts w:ascii="Arial" w:hAnsi="Arial" w:cs="Arial"/>
                <w:sz w:val="22"/>
                <w:szCs w:val="22"/>
              </w:rPr>
              <w:t>60,00</w:t>
            </w:r>
          </w:p>
        </w:tc>
      </w:tr>
      <w:tr w:rsidR="005613D5" w:rsidRPr="00027912" w:rsidTr="0097217D">
        <w:tc>
          <w:tcPr>
            <w:tcW w:w="6516" w:type="dxa"/>
          </w:tcPr>
          <w:p w:rsidR="005613D5" w:rsidRPr="00027912" w:rsidRDefault="005613D5" w:rsidP="0097217D">
            <w:pPr>
              <w:spacing w:line="276" w:lineRule="auto"/>
              <w:jc w:val="both"/>
              <w:rPr>
                <w:rFonts w:ascii="Arial" w:hAnsi="Arial" w:cs="Arial"/>
                <w:sz w:val="22"/>
                <w:szCs w:val="22"/>
              </w:rPr>
            </w:pPr>
            <w:r w:rsidRPr="00027912">
              <w:rPr>
                <w:rFonts w:ascii="Arial" w:hAnsi="Arial" w:cs="Arial"/>
                <w:sz w:val="22"/>
                <w:szCs w:val="22"/>
              </w:rPr>
              <w:lastRenderedPageBreak/>
              <w:t>Corrimão simples em aço inox, diâmetro externo 1 1/2”, fornecimento e instalação</w:t>
            </w:r>
          </w:p>
        </w:tc>
        <w:tc>
          <w:tcPr>
            <w:tcW w:w="1128" w:type="dxa"/>
          </w:tcPr>
          <w:p w:rsidR="005613D5" w:rsidRPr="00027912" w:rsidRDefault="005613D5" w:rsidP="0097217D">
            <w:pPr>
              <w:spacing w:line="276" w:lineRule="auto"/>
              <w:jc w:val="center"/>
              <w:rPr>
                <w:rFonts w:ascii="Arial" w:hAnsi="Arial" w:cs="Arial"/>
                <w:sz w:val="22"/>
                <w:szCs w:val="22"/>
              </w:rPr>
            </w:pPr>
            <w:proofErr w:type="gramStart"/>
            <w:r w:rsidRPr="00027912">
              <w:rPr>
                <w:rFonts w:ascii="Arial" w:hAnsi="Arial" w:cs="Arial"/>
                <w:sz w:val="22"/>
                <w:szCs w:val="22"/>
              </w:rPr>
              <w:t>m</w:t>
            </w:r>
            <w:proofErr w:type="gramEnd"/>
          </w:p>
        </w:tc>
        <w:tc>
          <w:tcPr>
            <w:tcW w:w="1416" w:type="dxa"/>
          </w:tcPr>
          <w:p w:rsidR="005613D5" w:rsidRPr="00027912" w:rsidRDefault="005613D5" w:rsidP="0097217D">
            <w:pPr>
              <w:spacing w:line="276" w:lineRule="auto"/>
              <w:jc w:val="center"/>
              <w:rPr>
                <w:rFonts w:ascii="Arial" w:hAnsi="Arial" w:cs="Arial"/>
                <w:sz w:val="22"/>
                <w:szCs w:val="22"/>
              </w:rPr>
            </w:pPr>
            <w:r w:rsidRPr="00027912">
              <w:rPr>
                <w:rFonts w:ascii="Arial" w:hAnsi="Arial" w:cs="Arial"/>
                <w:sz w:val="22"/>
                <w:szCs w:val="22"/>
              </w:rPr>
              <w:t>150,0</w:t>
            </w:r>
          </w:p>
        </w:tc>
      </w:tr>
    </w:tbl>
    <w:p w:rsidR="00027912" w:rsidRDefault="00027912" w:rsidP="00027912">
      <w:pPr>
        <w:spacing w:after="160" w:line="259" w:lineRule="auto"/>
        <w:ind w:left="720"/>
        <w:jc w:val="both"/>
        <w:rPr>
          <w:rFonts w:ascii="Arial" w:hAnsi="Arial" w:cs="Arial"/>
          <w:b/>
          <w:sz w:val="22"/>
          <w:szCs w:val="22"/>
        </w:rPr>
      </w:pPr>
    </w:p>
    <w:p w:rsidR="00C54098" w:rsidRPr="00027912" w:rsidRDefault="00C54098" w:rsidP="00C74777">
      <w:pPr>
        <w:numPr>
          <w:ilvl w:val="0"/>
          <w:numId w:val="26"/>
        </w:numPr>
        <w:spacing w:after="160" w:line="259" w:lineRule="auto"/>
        <w:jc w:val="both"/>
        <w:rPr>
          <w:rFonts w:ascii="Arial" w:hAnsi="Arial" w:cs="Arial"/>
          <w:b/>
          <w:sz w:val="22"/>
          <w:szCs w:val="22"/>
        </w:rPr>
      </w:pPr>
      <w:r w:rsidRPr="00027912">
        <w:rPr>
          <w:rFonts w:ascii="Arial" w:hAnsi="Arial" w:cs="Arial"/>
          <w:b/>
          <w:sz w:val="22"/>
          <w:szCs w:val="22"/>
        </w:rPr>
        <w:t>LEVANTAMENTO DE MERCADO</w:t>
      </w:r>
    </w:p>
    <w:p w:rsidR="00C54098" w:rsidRPr="00027912" w:rsidRDefault="00C54098" w:rsidP="00C54098">
      <w:pPr>
        <w:jc w:val="both"/>
        <w:rPr>
          <w:rFonts w:ascii="Arial" w:hAnsi="Arial" w:cs="Arial"/>
          <w:sz w:val="22"/>
          <w:szCs w:val="22"/>
        </w:rPr>
      </w:pPr>
      <w:r w:rsidRPr="00027912">
        <w:rPr>
          <w:rFonts w:ascii="Arial" w:hAnsi="Arial" w:cs="Arial"/>
          <w:sz w:val="22"/>
          <w:szCs w:val="22"/>
        </w:rPr>
        <w:t>Foi realizada análise de mercado com o objetivo de identificar fornecedores aptos a atender ao objeto da contratação. Verificou-se que o fornecimento de portas, janelas, vidros e componentes de esquadrias é atividade amplamente ofertada no mercado nacional e regional, havendo diversos fabricantes, distribuidores e empresas especializadas no fornecimento desses produtos.</w:t>
      </w:r>
    </w:p>
    <w:p w:rsidR="00C54098" w:rsidRPr="00027912" w:rsidRDefault="00C54098" w:rsidP="00C54098">
      <w:pPr>
        <w:jc w:val="both"/>
        <w:rPr>
          <w:rFonts w:ascii="Arial" w:hAnsi="Arial" w:cs="Arial"/>
          <w:sz w:val="22"/>
          <w:szCs w:val="22"/>
        </w:rPr>
      </w:pPr>
      <w:r w:rsidRPr="00027912">
        <w:rPr>
          <w:rFonts w:ascii="Arial" w:hAnsi="Arial" w:cs="Arial"/>
          <w:sz w:val="22"/>
          <w:szCs w:val="22"/>
        </w:rPr>
        <w:t>A existência de múltiplos fornecedores demonstra que o objeto possui natureza comum e padronizável, permitindo a realização de processo licitatório competitivo.</w:t>
      </w:r>
    </w:p>
    <w:p w:rsidR="00C54098" w:rsidRPr="00027912" w:rsidRDefault="00C54098" w:rsidP="00C54098">
      <w:pPr>
        <w:jc w:val="both"/>
        <w:rPr>
          <w:rFonts w:ascii="Arial" w:hAnsi="Arial" w:cs="Arial"/>
          <w:sz w:val="22"/>
          <w:szCs w:val="22"/>
        </w:rPr>
      </w:pPr>
      <w:r w:rsidRPr="00027912">
        <w:rPr>
          <w:rFonts w:ascii="Arial" w:hAnsi="Arial" w:cs="Arial"/>
          <w:sz w:val="22"/>
          <w:szCs w:val="22"/>
        </w:rPr>
        <w:t>Nesse cenário, a modalidade de licitação mais adequada é o pregão eletrônico, instrumento previsto na Lei nº 14.133/2021 para aquisição de bens comuns.</w:t>
      </w:r>
    </w:p>
    <w:p w:rsidR="00C74777" w:rsidRPr="00027912" w:rsidRDefault="00C74777" w:rsidP="00C54098">
      <w:pPr>
        <w:jc w:val="both"/>
        <w:rPr>
          <w:rFonts w:ascii="Arial" w:hAnsi="Arial" w:cs="Arial"/>
          <w:sz w:val="22"/>
          <w:szCs w:val="22"/>
        </w:rPr>
      </w:pPr>
    </w:p>
    <w:p w:rsidR="00C54098" w:rsidRPr="00027912" w:rsidRDefault="00C54098" w:rsidP="00C54098">
      <w:pPr>
        <w:numPr>
          <w:ilvl w:val="0"/>
          <w:numId w:val="27"/>
        </w:numPr>
        <w:spacing w:after="160" w:line="259" w:lineRule="auto"/>
        <w:jc w:val="both"/>
        <w:rPr>
          <w:rFonts w:ascii="Arial" w:hAnsi="Arial" w:cs="Arial"/>
          <w:b/>
          <w:sz w:val="22"/>
          <w:szCs w:val="22"/>
        </w:rPr>
      </w:pPr>
      <w:r w:rsidRPr="00027912">
        <w:rPr>
          <w:rFonts w:ascii="Arial" w:hAnsi="Arial" w:cs="Arial"/>
          <w:b/>
          <w:sz w:val="22"/>
          <w:szCs w:val="22"/>
        </w:rPr>
        <w:t>JUSTIFICATIVA PARA UTILIZAÇÃO DO PREGÃO ELETRÔNICO</w:t>
      </w:r>
    </w:p>
    <w:p w:rsidR="00C54098" w:rsidRPr="00027912" w:rsidRDefault="00C54098" w:rsidP="00C54098">
      <w:pPr>
        <w:jc w:val="both"/>
        <w:rPr>
          <w:rFonts w:ascii="Arial" w:hAnsi="Arial" w:cs="Arial"/>
          <w:sz w:val="22"/>
          <w:szCs w:val="22"/>
        </w:rPr>
      </w:pPr>
      <w:r w:rsidRPr="00027912">
        <w:rPr>
          <w:rFonts w:ascii="Arial" w:hAnsi="Arial" w:cs="Arial"/>
          <w:sz w:val="22"/>
          <w:szCs w:val="22"/>
        </w:rPr>
        <w:t>Nos termos da Lei nº 14.133/2021, o pregão é a modalidade de licitação destinada à aquisição de bens e serviços comuns, caracterizados por padrões de desempenho e qualidade que podem ser objetivamente definidos no edital.</w:t>
      </w:r>
    </w:p>
    <w:p w:rsidR="00C54098" w:rsidRPr="00027912" w:rsidRDefault="00C54098" w:rsidP="00C54098">
      <w:pPr>
        <w:jc w:val="both"/>
        <w:rPr>
          <w:rFonts w:ascii="Arial" w:hAnsi="Arial" w:cs="Arial"/>
          <w:sz w:val="22"/>
          <w:szCs w:val="22"/>
        </w:rPr>
      </w:pPr>
      <w:r w:rsidRPr="00027912">
        <w:rPr>
          <w:rFonts w:ascii="Arial" w:hAnsi="Arial" w:cs="Arial"/>
          <w:sz w:val="22"/>
          <w:szCs w:val="22"/>
        </w:rPr>
        <w:t>Os itens objeto da presente contratação possuem especificações técnicas usuais no mercado, permitindo sua definição objetiva por meio de descrições padronizadas, o que caracteriza a natureza de bens comuns.</w:t>
      </w:r>
    </w:p>
    <w:p w:rsidR="00C54098" w:rsidRPr="00027912" w:rsidRDefault="00C54098" w:rsidP="00C54098">
      <w:pPr>
        <w:jc w:val="both"/>
        <w:rPr>
          <w:rFonts w:ascii="Arial" w:hAnsi="Arial" w:cs="Arial"/>
          <w:sz w:val="22"/>
          <w:szCs w:val="22"/>
        </w:rPr>
      </w:pPr>
      <w:r w:rsidRPr="00027912">
        <w:rPr>
          <w:rFonts w:ascii="Arial" w:hAnsi="Arial" w:cs="Arial"/>
          <w:sz w:val="22"/>
          <w:szCs w:val="22"/>
        </w:rPr>
        <w:t>A utilização do pregão eletrônico apresenta vantagens relevantes para a Administração Pública, tais como:</w:t>
      </w:r>
      <w:r w:rsidR="00C74777" w:rsidRPr="00027912">
        <w:rPr>
          <w:rFonts w:ascii="Arial" w:hAnsi="Arial" w:cs="Arial"/>
          <w:sz w:val="22"/>
          <w:szCs w:val="22"/>
        </w:rPr>
        <w:t xml:space="preserve"> </w:t>
      </w:r>
      <w:r w:rsidRPr="00027912">
        <w:rPr>
          <w:rFonts w:ascii="Arial" w:hAnsi="Arial" w:cs="Arial"/>
          <w:sz w:val="22"/>
          <w:szCs w:val="22"/>
        </w:rPr>
        <w:t>ampliação da competitividade entre fornecedores</w:t>
      </w:r>
      <w:r w:rsidRPr="00027912">
        <w:rPr>
          <w:rFonts w:ascii="Arial" w:hAnsi="Arial" w:cs="Arial"/>
          <w:sz w:val="22"/>
          <w:szCs w:val="22"/>
        </w:rPr>
        <w:br/>
        <w:t>maior transparência do processo licitatório</w:t>
      </w:r>
      <w:r w:rsidRPr="00027912">
        <w:rPr>
          <w:rFonts w:ascii="Arial" w:hAnsi="Arial" w:cs="Arial"/>
          <w:sz w:val="22"/>
          <w:szCs w:val="22"/>
        </w:rPr>
        <w:br/>
        <w:t>possibilidade de participação de empresas de diversas regiões</w:t>
      </w:r>
      <w:r w:rsidRPr="00027912">
        <w:rPr>
          <w:rFonts w:ascii="Arial" w:hAnsi="Arial" w:cs="Arial"/>
          <w:sz w:val="22"/>
          <w:szCs w:val="22"/>
        </w:rPr>
        <w:br/>
        <w:t>redução de custos administrativos</w:t>
      </w:r>
      <w:r w:rsidRPr="00027912">
        <w:rPr>
          <w:rFonts w:ascii="Arial" w:hAnsi="Arial" w:cs="Arial"/>
          <w:sz w:val="22"/>
          <w:szCs w:val="22"/>
        </w:rPr>
        <w:br/>
        <w:t>obtenção de propostas mais vantajosas</w:t>
      </w:r>
    </w:p>
    <w:p w:rsidR="00C54098" w:rsidRPr="00027912" w:rsidRDefault="00C54098" w:rsidP="00C54098">
      <w:pPr>
        <w:jc w:val="both"/>
        <w:rPr>
          <w:rFonts w:ascii="Arial" w:hAnsi="Arial" w:cs="Arial"/>
          <w:sz w:val="22"/>
          <w:szCs w:val="22"/>
        </w:rPr>
      </w:pPr>
      <w:r w:rsidRPr="00027912">
        <w:rPr>
          <w:rFonts w:ascii="Arial" w:hAnsi="Arial" w:cs="Arial"/>
          <w:sz w:val="22"/>
          <w:szCs w:val="22"/>
        </w:rPr>
        <w:t>Dessa forma, a modalidade pregão eletrônico mostra-se a mais adequada para garantir economicidade e eficiência na contratação.</w:t>
      </w:r>
    </w:p>
    <w:p w:rsidR="00C74777" w:rsidRPr="00027912" w:rsidRDefault="00C74777" w:rsidP="00C54098">
      <w:pPr>
        <w:jc w:val="both"/>
        <w:rPr>
          <w:rFonts w:ascii="Arial" w:hAnsi="Arial" w:cs="Arial"/>
          <w:sz w:val="22"/>
          <w:szCs w:val="22"/>
        </w:rPr>
      </w:pPr>
    </w:p>
    <w:p w:rsidR="00C54098" w:rsidRPr="00027912" w:rsidRDefault="00C54098" w:rsidP="00C54098">
      <w:pPr>
        <w:numPr>
          <w:ilvl w:val="0"/>
          <w:numId w:val="28"/>
        </w:numPr>
        <w:spacing w:after="160" w:line="259" w:lineRule="auto"/>
        <w:jc w:val="both"/>
        <w:rPr>
          <w:rFonts w:ascii="Arial" w:hAnsi="Arial" w:cs="Arial"/>
          <w:b/>
          <w:sz w:val="22"/>
          <w:szCs w:val="22"/>
        </w:rPr>
      </w:pPr>
      <w:r w:rsidRPr="00027912">
        <w:rPr>
          <w:rFonts w:ascii="Arial" w:hAnsi="Arial" w:cs="Arial"/>
          <w:b/>
          <w:sz w:val="22"/>
          <w:szCs w:val="22"/>
        </w:rPr>
        <w:t>JUSTIFICATIVA PARA ADOÇÃO DO SISTEMA DE REGISTRO DE PREÇOS</w:t>
      </w:r>
    </w:p>
    <w:p w:rsidR="00C54098" w:rsidRPr="00027912" w:rsidRDefault="00C54098" w:rsidP="00C54098">
      <w:pPr>
        <w:jc w:val="both"/>
        <w:rPr>
          <w:rFonts w:ascii="Arial" w:hAnsi="Arial" w:cs="Arial"/>
          <w:sz w:val="22"/>
          <w:szCs w:val="22"/>
        </w:rPr>
      </w:pPr>
      <w:r w:rsidRPr="00027912">
        <w:rPr>
          <w:rFonts w:ascii="Arial" w:hAnsi="Arial" w:cs="Arial"/>
          <w:sz w:val="22"/>
          <w:szCs w:val="22"/>
        </w:rPr>
        <w:t>Considerando que a Administração necessita adquirir esses materiais de forma parcelada e conforme a demanda, a utilização do Sistema de Registro de Preços apresenta-se como a solução mais eficiente.</w:t>
      </w:r>
    </w:p>
    <w:p w:rsidR="00C54098" w:rsidRPr="00027912" w:rsidRDefault="00C54098" w:rsidP="00C54098">
      <w:pPr>
        <w:jc w:val="both"/>
        <w:rPr>
          <w:rFonts w:ascii="Arial" w:hAnsi="Arial" w:cs="Arial"/>
          <w:sz w:val="22"/>
          <w:szCs w:val="22"/>
        </w:rPr>
      </w:pPr>
      <w:r w:rsidRPr="00027912">
        <w:rPr>
          <w:rFonts w:ascii="Arial" w:hAnsi="Arial" w:cs="Arial"/>
          <w:sz w:val="22"/>
          <w:szCs w:val="22"/>
        </w:rPr>
        <w:t>O Sistema de Registro de Preços permite que a Administração registre os preços obtidos em processo licitatório e realize aquisições futuras conforme a necessidade, evitando a realização de múltiplos processos licitatórios ao longo do exercício.</w:t>
      </w:r>
    </w:p>
    <w:p w:rsidR="00C54098" w:rsidRPr="00027912" w:rsidRDefault="00C54098" w:rsidP="00C54098">
      <w:pPr>
        <w:jc w:val="both"/>
        <w:rPr>
          <w:rFonts w:ascii="Arial" w:hAnsi="Arial" w:cs="Arial"/>
          <w:sz w:val="22"/>
          <w:szCs w:val="22"/>
        </w:rPr>
      </w:pPr>
      <w:r w:rsidRPr="00027912">
        <w:rPr>
          <w:rFonts w:ascii="Arial" w:hAnsi="Arial" w:cs="Arial"/>
          <w:sz w:val="22"/>
          <w:szCs w:val="22"/>
        </w:rPr>
        <w:t>A adoção do Registro de Preços é especialmente recomendada quando:</w:t>
      </w:r>
    </w:p>
    <w:p w:rsidR="00C54098" w:rsidRPr="00027912" w:rsidRDefault="00C54098" w:rsidP="00C54098">
      <w:pPr>
        <w:jc w:val="both"/>
        <w:rPr>
          <w:rFonts w:ascii="Arial" w:hAnsi="Arial" w:cs="Arial"/>
          <w:sz w:val="22"/>
          <w:szCs w:val="22"/>
        </w:rPr>
      </w:pPr>
      <w:proofErr w:type="gramStart"/>
      <w:r w:rsidRPr="00027912">
        <w:rPr>
          <w:rFonts w:ascii="Arial" w:hAnsi="Arial" w:cs="Arial"/>
          <w:sz w:val="22"/>
          <w:szCs w:val="22"/>
        </w:rPr>
        <w:t>há</w:t>
      </w:r>
      <w:proofErr w:type="gramEnd"/>
      <w:r w:rsidRPr="00027912">
        <w:rPr>
          <w:rFonts w:ascii="Arial" w:hAnsi="Arial" w:cs="Arial"/>
          <w:sz w:val="22"/>
          <w:szCs w:val="22"/>
        </w:rPr>
        <w:t xml:space="preserve"> necessidade de contratações frequentes</w:t>
      </w:r>
      <w:r w:rsidRPr="00027912">
        <w:rPr>
          <w:rFonts w:ascii="Arial" w:hAnsi="Arial" w:cs="Arial"/>
          <w:sz w:val="22"/>
          <w:szCs w:val="22"/>
        </w:rPr>
        <w:br/>
        <w:t>não é possível definir previamente o quantitativo exato a ser adquirido</w:t>
      </w:r>
      <w:r w:rsidRPr="00027912">
        <w:rPr>
          <w:rFonts w:ascii="Arial" w:hAnsi="Arial" w:cs="Arial"/>
          <w:sz w:val="22"/>
          <w:szCs w:val="22"/>
        </w:rPr>
        <w:br/>
        <w:t>há necessidade de atendimento a diversas unidades administrativas</w:t>
      </w:r>
    </w:p>
    <w:p w:rsidR="00C54098" w:rsidRPr="00027912" w:rsidRDefault="00C54098" w:rsidP="00C54098">
      <w:pPr>
        <w:jc w:val="both"/>
        <w:rPr>
          <w:rFonts w:ascii="Arial" w:hAnsi="Arial" w:cs="Arial"/>
          <w:sz w:val="22"/>
          <w:szCs w:val="22"/>
        </w:rPr>
      </w:pPr>
      <w:r w:rsidRPr="00027912">
        <w:rPr>
          <w:rFonts w:ascii="Arial" w:hAnsi="Arial" w:cs="Arial"/>
          <w:sz w:val="22"/>
          <w:szCs w:val="22"/>
        </w:rPr>
        <w:t>Assim, o Sistema de Registro de Preços garante maior flexibilidade administrativa, racionalização de procedimentos e melhor gestão dos recursos públicos.</w:t>
      </w:r>
    </w:p>
    <w:p w:rsidR="00C74777" w:rsidRDefault="00C74777" w:rsidP="00C54098">
      <w:pPr>
        <w:jc w:val="both"/>
        <w:rPr>
          <w:rFonts w:ascii="Arial" w:hAnsi="Arial" w:cs="Arial"/>
          <w:sz w:val="22"/>
          <w:szCs w:val="22"/>
        </w:rPr>
      </w:pPr>
    </w:p>
    <w:p w:rsidR="00027912" w:rsidRDefault="00027912" w:rsidP="00C54098">
      <w:pPr>
        <w:jc w:val="both"/>
        <w:rPr>
          <w:rFonts w:ascii="Arial" w:hAnsi="Arial" w:cs="Arial"/>
          <w:sz w:val="22"/>
          <w:szCs w:val="22"/>
        </w:rPr>
      </w:pPr>
    </w:p>
    <w:p w:rsidR="00027912" w:rsidRPr="00027912" w:rsidRDefault="00027912" w:rsidP="00C54098">
      <w:pPr>
        <w:jc w:val="both"/>
        <w:rPr>
          <w:rFonts w:ascii="Arial" w:hAnsi="Arial" w:cs="Arial"/>
          <w:sz w:val="22"/>
          <w:szCs w:val="22"/>
        </w:rPr>
      </w:pPr>
    </w:p>
    <w:p w:rsidR="00C54098" w:rsidRPr="00027912" w:rsidRDefault="00C54098" w:rsidP="00C54098">
      <w:pPr>
        <w:numPr>
          <w:ilvl w:val="0"/>
          <w:numId w:val="29"/>
        </w:numPr>
        <w:spacing w:after="160" w:line="259" w:lineRule="auto"/>
        <w:jc w:val="both"/>
        <w:rPr>
          <w:rFonts w:ascii="Arial" w:hAnsi="Arial" w:cs="Arial"/>
          <w:b/>
          <w:sz w:val="22"/>
          <w:szCs w:val="22"/>
        </w:rPr>
      </w:pPr>
      <w:r w:rsidRPr="00027912">
        <w:rPr>
          <w:rFonts w:ascii="Arial" w:hAnsi="Arial" w:cs="Arial"/>
          <w:b/>
          <w:sz w:val="22"/>
          <w:szCs w:val="22"/>
        </w:rPr>
        <w:lastRenderedPageBreak/>
        <w:t>DESCRIÇÃO DA SOLUÇÃ</w:t>
      </w:r>
      <w:bookmarkStart w:id="0" w:name="_GoBack"/>
      <w:bookmarkEnd w:id="0"/>
      <w:r w:rsidRPr="00027912">
        <w:rPr>
          <w:rFonts w:ascii="Arial" w:hAnsi="Arial" w:cs="Arial"/>
          <w:b/>
          <w:sz w:val="22"/>
          <w:szCs w:val="22"/>
        </w:rPr>
        <w:t>O COMO UM TODO</w:t>
      </w:r>
    </w:p>
    <w:p w:rsidR="00C54098" w:rsidRPr="00027912" w:rsidRDefault="00C54098" w:rsidP="00C54098">
      <w:pPr>
        <w:jc w:val="both"/>
        <w:rPr>
          <w:rFonts w:ascii="Arial" w:hAnsi="Arial" w:cs="Arial"/>
          <w:sz w:val="22"/>
          <w:szCs w:val="22"/>
        </w:rPr>
      </w:pPr>
      <w:r w:rsidRPr="00027912">
        <w:rPr>
          <w:rFonts w:ascii="Arial" w:hAnsi="Arial" w:cs="Arial"/>
          <w:sz w:val="22"/>
          <w:szCs w:val="22"/>
        </w:rPr>
        <w:t>A solução proposta consiste na realização de licitação na modalidade pregão eletrônico, com adoção do Sistema de Registro de Preços, para contratação de empresa especializada no fornecimento de portas, janelas, vidros, fechaduras e demais componentes destinados à instalação e manutenção de aberturas em bens imóveis públicos.</w:t>
      </w:r>
    </w:p>
    <w:p w:rsidR="00C54098" w:rsidRPr="00027912" w:rsidRDefault="00C54098" w:rsidP="00C54098">
      <w:pPr>
        <w:jc w:val="both"/>
        <w:rPr>
          <w:rFonts w:ascii="Arial" w:hAnsi="Arial" w:cs="Arial"/>
          <w:sz w:val="22"/>
          <w:szCs w:val="22"/>
        </w:rPr>
      </w:pPr>
      <w:r w:rsidRPr="00027912">
        <w:rPr>
          <w:rFonts w:ascii="Arial" w:hAnsi="Arial" w:cs="Arial"/>
          <w:sz w:val="22"/>
          <w:szCs w:val="22"/>
        </w:rPr>
        <w:t>A contratação permitirá que o Município realize aquisições conforme a necessidade das secretarias municipais, assegurando o fornecimento contínuo de materiais essenciais para manutenção, reformas e obras públicas.</w:t>
      </w:r>
    </w:p>
    <w:p w:rsidR="00C74777" w:rsidRPr="00027912" w:rsidRDefault="00C74777" w:rsidP="00C54098">
      <w:pPr>
        <w:jc w:val="both"/>
        <w:rPr>
          <w:rFonts w:ascii="Arial" w:hAnsi="Arial" w:cs="Arial"/>
          <w:sz w:val="22"/>
          <w:szCs w:val="22"/>
        </w:rPr>
      </w:pPr>
    </w:p>
    <w:p w:rsidR="00C54098" w:rsidRPr="00027912" w:rsidRDefault="00C54098" w:rsidP="00C54098">
      <w:pPr>
        <w:numPr>
          <w:ilvl w:val="0"/>
          <w:numId w:val="30"/>
        </w:numPr>
        <w:spacing w:after="160" w:line="259" w:lineRule="auto"/>
        <w:jc w:val="both"/>
        <w:rPr>
          <w:rFonts w:ascii="Arial" w:hAnsi="Arial" w:cs="Arial"/>
          <w:b/>
          <w:sz w:val="22"/>
          <w:szCs w:val="22"/>
        </w:rPr>
      </w:pPr>
      <w:r w:rsidRPr="00027912">
        <w:rPr>
          <w:rFonts w:ascii="Arial" w:hAnsi="Arial" w:cs="Arial"/>
          <w:b/>
          <w:sz w:val="22"/>
          <w:szCs w:val="22"/>
        </w:rPr>
        <w:t>JUSTIFICATIVA PARA PARCELAMENTO OU NÃO DA CONTRATAÇÃO</w:t>
      </w:r>
    </w:p>
    <w:p w:rsidR="00C54098" w:rsidRPr="00027912" w:rsidRDefault="00C54098" w:rsidP="00C54098">
      <w:pPr>
        <w:jc w:val="both"/>
        <w:rPr>
          <w:rFonts w:ascii="Arial" w:hAnsi="Arial" w:cs="Arial"/>
          <w:sz w:val="22"/>
          <w:szCs w:val="22"/>
        </w:rPr>
      </w:pPr>
      <w:r w:rsidRPr="00027912">
        <w:rPr>
          <w:rFonts w:ascii="Arial" w:hAnsi="Arial" w:cs="Arial"/>
          <w:sz w:val="22"/>
          <w:szCs w:val="22"/>
        </w:rPr>
        <w:t>A contratação poderá ser estruturada em itens distintos, considerando a diversidade de produtos a serem fornecidos, tais como portas, janelas, vidros e acessórios. O parcelamento por itens permite ampliar a competitividade e possibilitar a participação de maior número de fornecedores, atendendo ao princípio da competitividade previsto na legislação de licitações.</w:t>
      </w:r>
    </w:p>
    <w:p w:rsidR="00C74777" w:rsidRPr="00027912" w:rsidRDefault="00C74777" w:rsidP="00C54098">
      <w:pPr>
        <w:jc w:val="both"/>
        <w:rPr>
          <w:rFonts w:ascii="Arial" w:hAnsi="Arial" w:cs="Arial"/>
          <w:sz w:val="22"/>
          <w:szCs w:val="22"/>
        </w:rPr>
      </w:pPr>
    </w:p>
    <w:p w:rsidR="00C54098" w:rsidRPr="00027912" w:rsidRDefault="00C54098" w:rsidP="00C54098">
      <w:pPr>
        <w:numPr>
          <w:ilvl w:val="0"/>
          <w:numId w:val="31"/>
        </w:numPr>
        <w:spacing w:after="160" w:line="259" w:lineRule="auto"/>
        <w:jc w:val="both"/>
        <w:rPr>
          <w:rFonts w:ascii="Arial" w:hAnsi="Arial" w:cs="Arial"/>
          <w:b/>
          <w:sz w:val="22"/>
          <w:szCs w:val="22"/>
        </w:rPr>
      </w:pPr>
      <w:r w:rsidRPr="00027912">
        <w:rPr>
          <w:rFonts w:ascii="Arial" w:hAnsi="Arial" w:cs="Arial"/>
          <w:b/>
          <w:sz w:val="22"/>
          <w:szCs w:val="22"/>
        </w:rPr>
        <w:t>RESULTADOS PRETENDIDOS</w:t>
      </w:r>
    </w:p>
    <w:p w:rsidR="00C54098" w:rsidRPr="00027912" w:rsidRDefault="00C54098" w:rsidP="00C54098">
      <w:pPr>
        <w:jc w:val="both"/>
        <w:rPr>
          <w:rFonts w:ascii="Arial" w:hAnsi="Arial" w:cs="Arial"/>
          <w:sz w:val="22"/>
          <w:szCs w:val="22"/>
        </w:rPr>
      </w:pPr>
      <w:r w:rsidRPr="00027912">
        <w:rPr>
          <w:rFonts w:ascii="Arial" w:hAnsi="Arial" w:cs="Arial"/>
          <w:sz w:val="22"/>
          <w:szCs w:val="22"/>
        </w:rPr>
        <w:t>Com a realização da contratação, espera-se alcançar os seguintes resultados:</w:t>
      </w:r>
    </w:p>
    <w:p w:rsidR="00C54098" w:rsidRPr="00027912" w:rsidRDefault="00C54098" w:rsidP="00C54098">
      <w:pPr>
        <w:jc w:val="both"/>
        <w:rPr>
          <w:rFonts w:ascii="Arial" w:hAnsi="Arial" w:cs="Arial"/>
          <w:sz w:val="22"/>
          <w:szCs w:val="22"/>
        </w:rPr>
      </w:pPr>
      <w:proofErr w:type="gramStart"/>
      <w:r w:rsidRPr="00027912">
        <w:rPr>
          <w:rFonts w:ascii="Arial" w:hAnsi="Arial" w:cs="Arial"/>
          <w:sz w:val="22"/>
          <w:szCs w:val="22"/>
        </w:rPr>
        <w:t>garantir</w:t>
      </w:r>
      <w:proofErr w:type="gramEnd"/>
      <w:r w:rsidRPr="00027912">
        <w:rPr>
          <w:rFonts w:ascii="Arial" w:hAnsi="Arial" w:cs="Arial"/>
          <w:sz w:val="22"/>
          <w:szCs w:val="22"/>
        </w:rPr>
        <w:t xml:space="preserve"> o fornecimento contínuo de materiais necessários à manutenção dos prédios públicos</w:t>
      </w:r>
      <w:r w:rsidRPr="00027912">
        <w:rPr>
          <w:rFonts w:ascii="Arial" w:hAnsi="Arial" w:cs="Arial"/>
          <w:sz w:val="22"/>
          <w:szCs w:val="22"/>
        </w:rPr>
        <w:br/>
        <w:t>reduzir custos decorrentes de contratações emergenciais</w:t>
      </w:r>
      <w:r w:rsidRPr="00027912">
        <w:rPr>
          <w:rFonts w:ascii="Arial" w:hAnsi="Arial" w:cs="Arial"/>
          <w:sz w:val="22"/>
          <w:szCs w:val="22"/>
        </w:rPr>
        <w:br/>
        <w:t>assegurar maior eficiência na gestão do patrimônio público</w:t>
      </w:r>
      <w:r w:rsidRPr="00027912">
        <w:rPr>
          <w:rFonts w:ascii="Arial" w:hAnsi="Arial" w:cs="Arial"/>
          <w:sz w:val="22"/>
          <w:szCs w:val="22"/>
        </w:rPr>
        <w:br/>
        <w:t>proporcionar melhores condições estruturais aos imóveis utilizados pela Administração</w:t>
      </w:r>
      <w:r w:rsidRPr="00027912">
        <w:rPr>
          <w:rFonts w:ascii="Arial" w:hAnsi="Arial" w:cs="Arial"/>
          <w:sz w:val="22"/>
          <w:szCs w:val="22"/>
        </w:rPr>
        <w:br/>
        <w:t>assegurar transparência e competitividade no processo de contratação</w:t>
      </w:r>
    </w:p>
    <w:p w:rsidR="00C74777" w:rsidRPr="00027912" w:rsidRDefault="00C74777" w:rsidP="00C54098">
      <w:pPr>
        <w:jc w:val="both"/>
        <w:rPr>
          <w:rFonts w:ascii="Arial" w:hAnsi="Arial" w:cs="Arial"/>
          <w:sz w:val="22"/>
          <w:szCs w:val="22"/>
        </w:rPr>
      </w:pPr>
    </w:p>
    <w:p w:rsidR="00C54098" w:rsidRPr="00027912" w:rsidRDefault="00C54098" w:rsidP="00C54098">
      <w:pPr>
        <w:numPr>
          <w:ilvl w:val="0"/>
          <w:numId w:val="32"/>
        </w:numPr>
        <w:spacing w:after="160" w:line="259" w:lineRule="auto"/>
        <w:jc w:val="both"/>
        <w:rPr>
          <w:rFonts w:ascii="Arial" w:hAnsi="Arial" w:cs="Arial"/>
          <w:b/>
          <w:sz w:val="22"/>
          <w:szCs w:val="22"/>
        </w:rPr>
      </w:pPr>
      <w:r w:rsidRPr="00027912">
        <w:rPr>
          <w:rFonts w:ascii="Arial" w:hAnsi="Arial" w:cs="Arial"/>
          <w:b/>
          <w:sz w:val="22"/>
          <w:szCs w:val="22"/>
        </w:rPr>
        <w:t>PROVIDÊNCIAS PARA ADEQUAÇÃO DO AMBIENTE</w:t>
      </w:r>
    </w:p>
    <w:p w:rsidR="00C54098" w:rsidRPr="00027912" w:rsidRDefault="00C54098" w:rsidP="00C54098">
      <w:pPr>
        <w:jc w:val="both"/>
        <w:rPr>
          <w:rFonts w:ascii="Arial" w:hAnsi="Arial" w:cs="Arial"/>
          <w:sz w:val="22"/>
          <w:szCs w:val="22"/>
        </w:rPr>
      </w:pPr>
      <w:r w:rsidRPr="00027912">
        <w:rPr>
          <w:rFonts w:ascii="Arial" w:hAnsi="Arial" w:cs="Arial"/>
          <w:sz w:val="22"/>
          <w:szCs w:val="22"/>
        </w:rPr>
        <w:t>Para a adequada execução da contratação, a Administração deverá realizar o levantamento das necessidades das secretarias municipais e definir as especificações técnicas dos itens a serem licitados. Também será necessária a elaboração do Termo de Referência e demais documentos que compõem o processo licitatório.</w:t>
      </w:r>
    </w:p>
    <w:p w:rsidR="00C74777" w:rsidRPr="00027912" w:rsidRDefault="00C74777" w:rsidP="00C54098">
      <w:pPr>
        <w:jc w:val="both"/>
        <w:rPr>
          <w:rFonts w:ascii="Arial" w:hAnsi="Arial" w:cs="Arial"/>
          <w:sz w:val="22"/>
          <w:szCs w:val="22"/>
        </w:rPr>
      </w:pPr>
    </w:p>
    <w:p w:rsidR="00C54098" w:rsidRPr="00027912" w:rsidRDefault="00C54098" w:rsidP="00C54098">
      <w:pPr>
        <w:numPr>
          <w:ilvl w:val="0"/>
          <w:numId w:val="33"/>
        </w:numPr>
        <w:spacing w:after="160" w:line="259" w:lineRule="auto"/>
        <w:jc w:val="both"/>
        <w:rPr>
          <w:rFonts w:ascii="Arial" w:hAnsi="Arial" w:cs="Arial"/>
          <w:b/>
          <w:sz w:val="22"/>
          <w:szCs w:val="22"/>
        </w:rPr>
      </w:pPr>
      <w:r w:rsidRPr="00027912">
        <w:rPr>
          <w:rFonts w:ascii="Arial" w:hAnsi="Arial" w:cs="Arial"/>
          <w:b/>
          <w:sz w:val="22"/>
          <w:szCs w:val="22"/>
        </w:rPr>
        <w:t>CONTRATAÇÕES CORRELATAS OU INTERDEPENDENTES</w:t>
      </w:r>
    </w:p>
    <w:p w:rsidR="00C54098" w:rsidRPr="00027912" w:rsidRDefault="00C54098" w:rsidP="00C54098">
      <w:pPr>
        <w:jc w:val="both"/>
        <w:rPr>
          <w:rFonts w:ascii="Arial" w:hAnsi="Arial" w:cs="Arial"/>
          <w:sz w:val="22"/>
          <w:szCs w:val="22"/>
        </w:rPr>
      </w:pPr>
      <w:r w:rsidRPr="00027912">
        <w:rPr>
          <w:rFonts w:ascii="Arial" w:hAnsi="Arial" w:cs="Arial"/>
          <w:sz w:val="22"/>
          <w:szCs w:val="22"/>
        </w:rPr>
        <w:t>A presente contratação poderá estar relacionada a futuras contratações de serviços de manutenção predial, reformas ou obras públicas, nas quais os materiais objeto deste processo poderão ser utilizados.</w:t>
      </w:r>
    </w:p>
    <w:p w:rsidR="00C74777" w:rsidRPr="00027912" w:rsidRDefault="00C74777" w:rsidP="00C54098">
      <w:pPr>
        <w:jc w:val="both"/>
        <w:rPr>
          <w:rFonts w:ascii="Arial" w:hAnsi="Arial" w:cs="Arial"/>
          <w:sz w:val="22"/>
          <w:szCs w:val="22"/>
        </w:rPr>
      </w:pPr>
    </w:p>
    <w:p w:rsidR="00C54098" w:rsidRPr="00027912" w:rsidRDefault="00C54098" w:rsidP="00C54098">
      <w:pPr>
        <w:numPr>
          <w:ilvl w:val="0"/>
          <w:numId w:val="34"/>
        </w:numPr>
        <w:spacing w:after="160" w:line="259" w:lineRule="auto"/>
        <w:jc w:val="both"/>
        <w:rPr>
          <w:rFonts w:ascii="Arial" w:hAnsi="Arial" w:cs="Arial"/>
          <w:b/>
          <w:sz w:val="22"/>
          <w:szCs w:val="22"/>
        </w:rPr>
      </w:pPr>
      <w:r w:rsidRPr="00027912">
        <w:rPr>
          <w:rFonts w:ascii="Arial" w:hAnsi="Arial" w:cs="Arial"/>
          <w:b/>
          <w:sz w:val="22"/>
          <w:szCs w:val="22"/>
        </w:rPr>
        <w:t>IMPACTOS AMBIENTAIS</w:t>
      </w:r>
    </w:p>
    <w:p w:rsidR="00C54098" w:rsidRPr="00027912" w:rsidRDefault="00C54098" w:rsidP="00C54098">
      <w:pPr>
        <w:jc w:val="both"/>
        <w:rPr>
          <w:rFonts w:ascii="Arial" w:hAnsi="Arial" w:cs="Arial"/>
          <w:sz w:val="22"/>
          <w:szCs w:val="22"/>
        </w:rPr>
      </w:pPr>
      <w:r w:rsidRPr="00027912">
        <w:rPr>
          <w:rFonts w:ascii="Arial" w:hAnsi="Arial" w:cs="Arial"/>
          <w:sz w:val="22"/>
          <w:szCs w:val="22"/>
        </w:rPr>
        <w:t>Os materiais fornecidos deverão atender às normas ambientais aplicáveis, especialmente no que se refere à produção e descarte de materiais de construção. Sempre que possível, deverá ser priorizado o uso de materiais com maior durabilidade e eficiência, contribuindo para a redução de resíduos e para a sustentabilidade ambiental.</w:t>
      </w:r>
    </w:p>
    <w:p w:rsidR="00C74777" w:rsidRPr="00027912" w:rsidRDefault="00C74777" w:rsidP="00C54098">
      <w:pPr>
        <w:jc w:val="both"/>
        <w:rPr>
          <w:rFonts w:ascii="Arial" w:hAnsi="Arial" w:cs="Arial"/>
          <w:sz w:val="22"/>
          <w:szCs w:val="22"/>
        </w:rPr>
      </w:pPr>
    </w:p>
    <w:p w:rsidR="00C54098" w:rsidRPr="00027912" w:rsidRDefault="00C54098" w:rsidP="00C54098">
      <w:pPr>
        <w:numPr>
          <w:ilvl w:val="0"/>
          <w:numId w:val="35"/>
        </w:numPr>
        <w:spacing w:after="160" w:line="259" w:lineRule="auto"/>
        <w:jc w:val="both"/>
        <w:rPr>
          <w:rFonts w:ascii="Arial" w:hAnsi="Arial" w:cs="Arial"/>
          <w:b/>
          <w:sz w:val="22"/>
          <w:szCs w:val="22"/>
        </w:rPr>
      </w:pPr>
      <w:r w:rsidRPr="00027912">
        <w:rPr>
          <w:rFonts w:ascii="Arial" w:hAnsi="Arial" w:cs="Arial"/>
          <w:b/>
          <w:sz w:val="22"/>
          <w:szCs w:val="22"/>
        </w:rPr>
        <w:t>DOCUMENTAÇÃO PARA COMPROVAÇÃO DE CAPACIDADE TÉCNICA</w:t>
      </w:r>
    </w:p>
    <w:p w:rsidR="00C54098" w:rsidRPr="00027912" w:rsidRDefault="00C54098" w:rsidP="00C54098">
      <w:pPr>
        <w:jc w:val="both"/>
        <w:rPr>
          <w:rFonts w:ascii="Arial" w:hAnsi="Arial" w:cs="Arial"/>
          <w:sz w:val="22"/>
          <w:szCs w:val="22"/>
        </w:rPr>
      </w:pPr>
      <w:r w:rsidRPr="00027912">
        <w:rPr>
          <w:rFonts w:ascii="Arial" w:hAnsi="Arial" w:cs="Arial"/>
          <w:sz w:val="22"/>
          <w:szCs w:val="22"/>
        </w:rPr>
        <w:t>Para comprovação da capacidade técnica da empresa licitante, poderão ser exigidos os seguintes documentos:</w:t>
      </w:r>
    </w:p>
    <w:p w:rsidR="00C54098" w:rsidRPr="00027912" w:rsidRDefault="00C54098" w:rsidP="00C54098">
      <w:pPr>
        <w:jc w:val="both"/>
        <w:rPr>
          <w:rFonts w:ascii="Arial" w:hAnsi="Arial" w:cs="Arial"/>
          <w:sz w:val="22"/>
          <w:szCs w:val="22"/>
        </w:rPr>
      </w:pPr>
      <w:proofErr w:type="gramStart"/>
      <w:r w:rsidRPr="00027912">
        <w:rPr>
          <w:rFonts w:ascii="Arial" w:hAnsi="Arial" w:cs="Arial"/>
          <w:sz w:val="22"/>
          <w:szCs w:val="22"/>
        </w:rPr>
        <w:lastRenderedPageBreak/>
        <w:t>atestado</w:t>
      </w:r>
      <w:proofErr w:type="gramEnd"/>
      <w:r w:rsidRPr="00027912">
        <w:rPr>
          <w:rFonts w:ascii="Arial" w:hAnsi="Arial" w:cs="Arial"/>
          <w:sz w:val="22"/>
          <w:szCs w:val="22"/>
        </w:rPr>
        <w:t xml:space="preserve"> de capacidade técnica emitido por pessoa jurídica de direito público ou privado que comprove fornecimento de materiais similares aos objetos da contratação</w:t>
      </w:r>
      <w:r w:rsidRPr="00027912">
        <w:rPr>
          <w:rFonts w:ascii="Arial" w:hAnsi="Arial" w:cs="Arial"/>
          <w:sz w:val="22"/>
          <w:szCs w:val="22"/>
        </w:rPr>
        <w:br/>
        <w:t>comprovação de atividade compatível com o objeto social da empresa</w:t>
      </w:r>
      <w:r w:rsidRPr="00027912">
        <w:rPr>
          <w:rFonts w:ascii="Arial" w:hAnsi="Arial" w:cs="Arial"/>
          <w:sz w:val="22"/>
          <w:szCs w:val="22"/>
        </w:rPr>
        <w:br/>
        <w:t>registro ou inscrição da empresa nos órgãos competentes, quando aplicável</w:t>
      </w:r>
      <w:r w:rsidRPr="00027912">
        <w:rPr>
          <w:rFonts w:ascii="Arial" w:hAnsi="Arial" w:cs="Arial"/>
          <w:sz w:val="22"/>
          <w:szCs w:val="22"/>
        </w:rPr>
        <w:br/>
        <w:t>catálogos técnicos ou especificações dos produtos ofertados</w:t>
      </w:r>
    </w:p>
    <w:p w:rsidR="00C54098" w:rsidRPr="00027912" w:rsidRDefault="00C54098" w:rsidP="00C54098">
      <w:pPr>
        <w:jc w:val="both"/>
        <w:rPr>
          <w:rFonts w:ascii="Arial" w:hAnsi="Arial" w:cs="Arial"/>
          <w:sz w:val="22"/>
          <w:szCs w:val="22"/>
        </w:rPr>
      </w:pPr>
      <w:r w:rsidRPr="00027912">
        <w:rPr>
          <w:rFonts w:ascii="Arial" w:hAnsi="Arial" w:cs="Arial"/>
          <w:sz w:val="22"/>
          <w:szCs w:val="22"/>
        </w:rPr>
        <w:t>Tais documentos têm por finalidade assegurar que a empresa possui experiência e capacidade técnica para fornecer os produtos objeto da contratação.</w:t>
      </w:r>
    </w:p>
    <w:p w:rsidR="00C74777" w:rsidRPr="00027912" w:rsidRDefault="00C74777" w:rsidP="00C54098">
      <w:pPr>
        <w:jc w:val="both"/>
        <w:rPr>
          <w:rFonts w:ascii="Arial" w:hAnsi="Arial" w:cs="Arial"/>
          <w:sz w:val="22"/>
          <w:szCs w:val="22"/>
        </w:rPr>
      </w:pPr>
    </w:p>
    <w:p w:rsidR="00C54098" w:rsidRPr="00027912" w:rsidRDefault="00C54098" w:rsidP="00C54098">
      <w:pPr>
        <w:numPr>
          <w:ilvl w:val="0"/>
          <w:numId w:val="36"/>
        </w:numPr>
        <w:spacing w:after="160" w:line="259" w:lineRule="auto"/>
        <w:jc w:val="both"/>
        <w:rPr>
          <w:rFonts w:ascii="Arial" w:hAnsi="Arial" w:cs="Arial"/>
          <w:b/>
          <w:sz w:val="22"/>
          <w:szCs w:val="22"/>
        </w:rPr>
      </w:pPr>
      <w:r w:rsidRPr="00027912">
        <w:rPr>
          <w:rFonts w:ascii="Arial" w:hAnsi="Arial" w:cs="Arial"/>
          <w:b/>
          <w:sz w:val="22"/>
          <w:szCs w:val="22"/>
        </w:rPr>
        <w:t>FUNDAMENTAÇÃO JURÍDICA</w:t>
      </w:r>
    </w:p>
    <w:p w:rsidR="00C54098" w:rsidRPr="00027912" w:rsidRDefault="00C54098" w:rsidP="00C54098">
      <w:pPr>
        <w:jc w:val="both"/>
        <w:rPr>
          <w:rFonts w:ascii="Arial" w:hAnsi="Arial" w:cs="Arial"/>
          <w:sz w:val="22"/>
          <w:szCs w:val="22"/>
        </w:rPr>
      </w:pPr>
      <w:r w:rsidRPr="00027912">
        <w:rPr>
          <w:rFonts w:ascii="Arial" w:hAnsi="Arial" w:cs="Arial"/>
          <w:sz w:val="22"/>
          <w:szCs w:val="22"/>
        </w:rPr>
        <w:t>O presente Estudo Técnico Preliminar foi elaborado em conformidade com o disposto no artigo 18 da Lei nº 14.133/2021, que estabelece a obrigatoriedade de planejamento das contratações públicas.</w:t>
      </w:r>
    </w:p>
    <w:p w:rsidR="00C54098" w:rsidRPr="00027912" w:rsidRDefault="00C54098" w:rsidP="00C54098">
      <w:pPr>
        <w:jc w:val="both"/>
        <w:rPr>
          <w:rFonts w:ascii="Arial" w:hAnsi="Arial" w:cs="Arial"/>
          <w:sz w:val="22"/>
          <w:szCs w:val="22"/>
        </w:rPr>
      </w:pPr>
      <w:r w:rsidRPr="00027912">
        <w:rPr>
          <w:rFonts w:ascii="Arial" w:hAnsi="Arial" w:cs="Arial"/>
          <w:sz w:val="22"/>
          <w:szCs w:val="22"/>
        </w:rPr>
        <w:t>A adoção da modalidade pregão eletrônico encontra fundamento na legislação vigente, por se tratar de aquisição de bens comuns, cujas especificações podem ser objetivamente definidas.</w:t>
      </w:r>
    </w:p>
    <w:p w:rsidR="00C54098" w:rsidRPr="00027912" w:rsidRDefault="00C54098" w:rsidP="00C54098">
      <w:pPr>
        <w:jc w:val="both"/>
        <w:rPr>
          <w:rFonts w:ascii="Arial" w:hAnsi="Arial" w:cs="Arial"/>
          <w:sz w:val="22"/>
          <w:szCs w:val="22"/>
        </w:rPr>
      </w:pPr>
      <w:r w:rsidRPr="00027912">
        <w:rPr>
          <w:rFonts w:ascii="Arial" w:hAnsi="Arial" w:cs="Arial"/>
          <w:sz w:val="22"/>
          <w:szCs w:val="22"/>
        </w:rPr>
        <w:t>A utilização do Sistema de Registro de Preços também encontra respaldo na legislação de licitações, sendo recomendada para situações em que há necessidade de aquisições frequentes e quantidades variáveis.</w:t>
      </w:r>
    </w:p>
    <w:p w:rsidR="00C74777" w:rsidRPr="00027912" w:rsidRDefault="00C74777" w:rsidP="00C54098">
      <w:pPr>
        <w:jc w:val="both"/>
        <w:rPr>
          <w:rFonts w:ascii="Arial" w:hAnsi="Arial" w:cs="Arial"/>
          <w:sz w:val="22"/>
          <w:szCs w:val="22"/>
        </w:rPr>
      </w:pPr>
    </w:p>
    <w:p w:rsidR="00C54098" w:rsidRPr="00027912" w:rsidRDefault="00C54098" w:rsidP="00C54098">
      <w:pPr>
        <w:numPr>
          <w:ilvl w:val="0"/>
          <w:numId w:val="37"/>
        </w:numPr>
        <w:spacing w:after="160" w:line="259" w:lineRule="auto"/>
        <w:jc w:val="both"/>
        <w:rPr>
          <w:rFonts w:ascii="Arial" w:hAnsi="Arial" w:cs="Arial"/>
          <w:b/>
          <w:sz w:val="22"/>
          <w:szCs w:val="22"/>
        </w:rPr>
      </w:pPr>
      <w:r w:rsidRPr="00027912">
        <w:rPr>
          <w:rFonts w:ascii="Arial" w:hAnsi="Arial" w:cs="Arial"/>
          <w:b/>
          <w:sz w:val="22"/>
          <w:szCs w:val="22"/>
        </w:rPr>
        <w:t>CONFORMIDADE COM ORIENTAÇÕES DO TCE-PR</w:t>
      </w:r>
    </w:p>
    <w:p w:rsidR="00C54098" w:rsidRPr="00027912" w:rsidRDefault="00C54098" w:rsidP="00C54098">
      <w:pPr>
        <w:jc w:val="both"/>
        <w:rPr>
          <w:rFonts w:ascii="Arial" w:hAnsi="Arial" w:cs="Arial"/>
          <w:sz w:val="22"/>
          <w:szCs w:val="22"/>
        </w:rPr>
      </w:pPr>
      <w:r w:rsidRPr="00027912">
        <w:rPr>
          <w:rFonts w:ascii="Arial" w:hAnsi="Arial" w:cs="Arial"/>
          <w:sz w:val="22"/>
          <w:szCs w:val="22"/>
        </w:rPr>
        <w:t>O Tribunal de Contas do Estado do Paraná tem reiteradamente destacado a importância do planejamento das contratações públicas, especialmente por meio da elaboração de Estudo Técnico Preliminar que demonstre a necessidade da contratação, a análise de mercado e a justificativa da solução escolhida.</w:t>
      </w:r>
    </w:p>
    <w:p w:rsidR="00C54098" w:rsidRPr="00027912" w:rsidRDefault="00C54098" w:rsidP="00C54098">
      <w:pPr>
        <w:jc w:val="both"/>
        <w:rPr>
          <w:rFonts w:ascii="Arial" w:hAnsi="Arial" w:cs="Arial"/>
          <w:sz w:val="22"/>
          <w:szCs w:val="22"/>
        </w:rPr>
      </w:pPr>
      <w:r w:rsidRPr="00027912">
        <w:rPr>
          <w:rFonts w:ascii="Arial" w:hAnsi="Arial" w:cs="Arial"/>
          <w:sz w:val="22"/>
          <w:szCs w:val="22"/>
        </w:rPr>
        <w:t>O presente ETP atende a essas diretrizes ao apresentar a fundamentação técnica e jurídica da contratação, garantindo transparência, eficiência e conformidade com as boas práticas de gestão pública recomendadas pelos órgãos de controle.</w:t>
      </w:r>
    </w:p>
    <w:p w:rsidR="00C74777" w:rsidRPr="00027912" w:rsidRDefault="00C74777" w:rsidP="00C54098">
      <w:pPr>
        <w:jc w:val="both"/>
        <w:rPr>
          <w:rFonts w:ascii="Arial" w:hAnsi="Arial" w:cs="Arial"/>
          <w:sz w:val="22"/>
          <w:szCs w:val="22"/>
        </w:rPr>
      </w:pPr>
    </w:p>
    <w:p w:rsidR="00C54098" w:rsidRPr="00027912" w:rsidRDefault="00C54098" w:rsidP="00C54098">
      <w:pPr>
        <w:numPr>
          <w:ilvl w:val="0"/>
          <w:numId w:val="38"/>
        </w:numPr>
        <w:spacing w:after="160" w:line="259" w:lineRule="auto"/>
        <w:jc w:val="both"/>
        <w:rPr>
          <w:rFonts w:ascii="Arial" w:hAnsi="Arial" w:cs="Arial"/>
          <w:b/>
          <w:sz w:val="22"/>
          <w:szCs w:val="22"/>
        </w:rPr>
      </w:pPr>
      <w:r w:rsidRPr="00027912">
        <w:rPr>
          <w:rFonts w:ascii="Arial" w:hAnsi="Arial" w:cs="Arial"/>
          <w:b/>
          <w:sz w:val="22"/>
          <w:szCs w:val="22"/>
        </w:rPr>
        <w:t>CONCLUSÃO</w:t>
      </w:r>
    </w:p>
    <w:p w:rsidR="00C54098" w:rsidRPr="00027912" w:rsidRDefault="00C54098" w:rsidP="00C54098">
      <w:pPr>
        <w:jc w:val="both"/>
        <w:rPr>
          <w:rFonts w:ascii="Arial" w:hAnsi="Arial" w:cs="Arial"/>
          <w:sz w:val="22"/>
          <w:szCs w:val="22"/>
        </w:rPr>
      </w:pPr>
      <w:r w:rsidRPr="00027912">
        <w:rPr>
          <w:rFonts w:ascii="Arial" w:hAnsi="Arial" w:cs="Arial"/>
          <w:sz w:val="22"/>
          <w:szCs w:val="22"/>
        </w:rPr>
        <w:t>Diante das análises realizadas, conclui-se que a contratação de empresa especializada para fornecimento de portas, janelas em alumínio e vidro, fechaduras e demais componentes destinados às aberturas de bens imóveis públicos é necessária para assegurar a adequada manutenção e conservação do patrimônio público municipal.</w:t>
      </w:r>
    </w:p>
    <w:p w:rsidR="00C54098" w:rsidRPr="00027912" w:rsidRDefault="00C54098" w:rsidP="00C54098">
      <w:pPr>
        <w:jc w:val="both"/>
        <w:rPr>
          <w:rFonts w:ascii="Arial" w:hAnsi="Arial" w:cs="Arial"/>
          <w:sz w:val="22"/>
          <w:szCs w:val="22"/>
        </w:rPr>
      </w:pPr>
      <w:r w:rsidRPr="00027912">
        <w:rPr>
          <w:rFonts w:ascii="Arial" w:hAnsi="Arial" w:cs="Arial"/>
          <w:sz w:val="22"/>
          <w:szCs w:val="22"/>
        </w:rPr>
        <w:t>Considerando a natureza comum dos bens, a ampla disponibilidade de fornecedores no mercado e a necessidade de aquisições recorrentes ao longo do tempo, recomenda-se que a contratação seja realizada por meio de licitação na modalidade pregão eletrônico, com adoção do Sistema de Registro de Preços, por se tratar da forma mais eficiente, econômica e transparente de contratação para a Administração Pública Municipal.</w:t>
      </w:r>
    </w:p>
    <w:p w:rsidR="00792E33" w:rsidRPr="00027912" w:rsidRDefault="00C54098" w:rsidP="00C74777">
      <w:pPr>
        <w:jc w:val="both"/>
        <w:rPr>
          <w:rFonts w:ascii="Arial" w:hAnsi="Arial" w:cs="Arial"/>
          <w:sz w:val="22"/>
          <w:szCs w:val="22"/>
        </w:rPr>
      </w:pPr>
      <w:r w:rsidRPr="00027912">
        <w:rPr>
          <w:rFonts w:ascii="Arial" w:hAnsi="Arial" w:cs="Arial"/>
          <w:sz w:val="22"/>
          <w:szCs w:val="22"/>
        </w:rPr>
        <w:t>Assim, recomenda-se o prosseguimento do processo administrativo com a elaboração do Termo de Referência e abertura do procedimento licitatório correspondente.</w:t>
      </w:r>
    </w:p>
    <w:p w:rsidR="00027912" w:rsidRDefault="00027912" w:rsidP="00DD0853">
      <w:pPr>
        <w:jc w:val="center"/>
        <w:rPr>
          <w:rFonts w:ascii="Arial" w:hAnsi="Arial" w:cs="Arial"/>
          <w:sz w:val="22"/>
          <w:szCs w:val="22"/>
        </w:rPr>
      </w:pPr>
    </w:p>
    <w:p w:rsidR="00DD0853" w:rsidRPr="00027912" w:rsidRDefault="00DD0853" w:rsidP="00DD0853">
      <w:pPr>
        <w:jc w:val="center"/>
        <w:rPr>
          <w:rFonts w:ascii="Arial" w:hAnsi="Arial" w:cs="Arial"/>
          <w:sz w:val="22"/>
          <w:szCs w:val="22"/>
        </w:rPr>
      </w:pPr>
      <w:r w:rsidRPr="00027912">
        <w:rPr>
          <w:rFonts w:ascii="Arial" w:hAnsi="Arial" w:cs="Arial"/>
          <w:sz w:val="22"/>
          <w:szCs w:val="22"/>
        </w:rPr>
        <w:t>Bom Sucesso do Sul, 13 de março de 2026.</w:t>
      </w:r>
    </w:p>
    <w:p w:rsidR="00DD0853" w:rsidRPr="00027912" w:rsidRDefault="00DD0853" w:rsidP="00DD0853">
      <w:pPr>
        <w:jc w:val="center"/>
        <w:rPr>
          <w:rFonts w:ascii="Arial" w:hAnsi="Arial" w:cs="Arial"/>
          <w:sz w:val="22"/>
          <w:szCs w:val="22"/>
        </w:rPr>
      </w:pPr>
    </w:p>
    <w:p w:rsidR="005613D5" w:rsidRDefault="005613D5" w:rsidP="00DD0853">
      <w:pPr>
        <w:jc w:val="center"/>
        <w:rPr>
          <w:rFonts w:ascii="Arial" w:hAnsi="Arial" w:cs="Arial"/>
          <w:sz w:val="22"/>
          <w:szCs w:val="22"/>
        </w:rPr>
      </w:pPr>
    </w:p>
    <w:p w:rsidR="00027912" w:rsidRPr="00027912" w:rsidRDefault="00027912" w:rsidP="00DD0853">
      <w:pPr>
        <w:jc w:val="center"/>
        <w:rPr>
          <w:rFonts w:ascii="Arial" w:hAnsi="Arial" w:cs="Arial"/>
          <w:sz w:val="22"/>
          <w:szCs w:val="22"/>
        </w:rPr>
      </w:pPr>
    </w:p>
    <w:p w:rsidR="00DD0853" w:rsidRPr="00027912" w:rsidRDefault="00DD0853" w:rsidP="00DD0853">
      <w:pPr>
        <w:jc w:val="center"/>
        <w:rPr>
          <w:rFonts w:ascii="Arial" w:hAnsi="Arial" w:cs="Arial"/>
          <w:sz w:val="22"/>
          <w:szCs w:val="22"/>
        </w:rPr>
      </w:pPr>
      <w:r w:rsidRPr="00027912">
        <w:rPr>
          <w:rFonts w:ascii="Arial" w:hAnsi="Arial" w:cs="Arial"/>
          <w:sz w:val="22"/>
          <w:szCs w:val="22"/>
        </w:rPr>
        <w:t>Fábio Júnior de Oliveira</w:t>
      </w:r>
    </w:p>
    <w:p w:rsidR="00C74777" w:rsidRPr="00027912" w:rsidRDefault="00DD0853" w:rsidP="005613D5">
      <w:pPr>
        <w:jc w:val="center"/>
        <w:rPr>
          <w:rFonts w:ascii="Arial" w:hAnsi="Arial" w:cs="Arial"/>
          <w:sz w:val="22"/>
          <w:szCs w:val="22"/>
        </w:rPr>
      </w:pPr>
      <w:r w:rsidRPr="00027912">
        <w:rPr>
          <w:rFonts w:ascii="Arial" w:hAnsi="Arial" w:cs="Arial"/>
          <w:sz w:val="22"/>
          <w:szCs w:val="22"/>
        </w:rPr>
        <w:t>Diretor do Departamento de Obras e Serviços Urbanos</w:t>
      </w:r>
    </w:p>
    <w:sectPr w:rsidR="00C74777" w:rsidRPr="00027912" w:rsidSect="00094B7D">
      <w:headerReference w:type="default" r:id="rId8"/>
      <w:footerReference w:type="default" r:id="rId9"/>
      <w:pgSz w:w="11906" w:h="16838"/>
      <w:pgMar w:top="2722"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229" w:rsidRDefault="00C54229">
      <w:r>
        <w:separator/>
      </w:r>
    </w:p>
  </w:endnote>
  <w:endnote w:type="continuationSeparator" w:id="0">
    <w:p w:rsidR="00C54229" w:rsidRDefault="00C5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CD8" w:rsidRDefault="00A65DE3" w:rsidP="004301FC">
    <w:pPr>
      <w:pStyle w:val="Rodap"/>
      <w:jc w:val="center"/>
      <w:rPr>
        <w:sz w:val="24"/>
        <w:szCs w:val="24"/>
      </w:rPr>
    </w:pPr>
    <w:r>
      <w:rPr>
        <w:sz w:val="24"/>
        <w:szCs w:val="24"/>
      </w:rPr>
      <w:t xml:space="preserve">Fone (46) 3234-1135 </w:t>
    </w:r>
    <w:proofErr w:type="spellStart"/>
    <w:r>
      <w:rPr>
        <w:sz w:val="24"/>
        <w:szCs w:val="24"/>
      </w:rPr>
      <w:t>email</w:t>
    </w:r>
    <w:proofErr w:type="spellEnd"/>
    <w:r>
      <w:rPr>
        <w:sz w:val="24"/>
        <w:szCs w:val="24"/>
      </w:rPr>
      <w:t xml:space="preserve">: </w:t>
    </w:r>
    <w:hyperlink r:id="rId1" w:history="1">
      <w:r>
        <w:rPr>
          <w:rStyle w:val="Hyperlink"/>
          <w:sz w:val="24"/>
          <w:szCs w:val="24"/>
        </w:rPr>
        <w:t>gabinete@bssul.pr.gov.br</w:t>
      </w:r>
    </w:hyperlink>
    <w:r>
      <w:rPr>
        <w:sz w:val="24"/>
        <w:szCs w:val="24"/>
      </w:rPr>
      <w:t xml:space="preserve"> – Rua Cândido </w:t>
    </w:r>
    <w:proofErr w:type="spellStart"/>
    <w:r>
      <w:rPr>
        <w:sz w:val="24"/>
        <w:szCs w:val="24"/>
      </w:rPr>
      <w:t>Merlo</w:t>
    </w:r>
    <w:proofErr w:type="spellEnd"/>
    <w:r>
      <w:rPr>
        <w:sz w:val="24"/>
        <w:szCs w:val="24"/>
      </w:rPr>
      <w:t>,</w:t>
    </w:r>
    <w:r w:rsidR="004301FC">
      <w:rPr>
        <w:sz w:val="24"/>
        <w:szCs w:val="24"/>
      </w:rPr>
      <w:t xml:space="preserve"> nº</w:t>
    </w:r>
    <w:r>
      <w:rPr>
        <w:sz w:val="24"/>
        <w:szCs w:val="24"/>
      </w:rPr>
      <w:t xml:space="preserve"> 290 – Centro 85.515-000</w:t>
    </w:r>
    <w:r w:rsidR="004301FC">
      <w:rPr>
        <w:sz w:val="24"/>
        <w:szCs w:val="24"/>
      </w:rPr>
      <w:t xml:space="preserve"> -</w:t>
    </w:r>
    <w:r>
      <w:rPr>
        <w:sz w:val="24"/>
        <w:szCs w:val="24"/>
      </w:rPr>
      <w:t xml:space="preserve"> Bom Sucesso do Sul - Paraná</w:t>
    </w:r>
  </w:p>
  <w:p w:rsidR="00196CD8" w:rsidRDefault="00196CD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229" w:rsidRDefault="00C54229">
      <w:r>
        <w:separator/>
      </w:r>
    </w:p>
  </w:footnote>
  <w:footnote w:type="continuationSeparator" w:id="0">
    <w:p w:rsidR="00C54229" w:rsidRDefault="00C54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CD8" w:rsidRDefault="00A65DE3">
    <w:pPr>
      <w:pStyle w:val="Cabealho"/>
      <w:rPr>
        <w:b/>
        <w:sz w:val="32"/>
      </w:rPr>
    </w:pPr>
    <w:r>
      <w:rPr>
        <w:b/>
        <w:noProof/>
        <w:sz w:val="32"/>
        <w:lang w:eastAsia="pt-BR"/>
      </w:rPr>
      <mc:AlternateContent>
        <mc:Choice Requires="wps">
          <w:drawing>
            <wp:anchor distT="45720" distB="45720" distL="114300" distR="114300" simplePos="0" relativeHeight="251659264" behindDoc="0" locked="0" layoutInCell="1" allowOverlap="1">
              <wp:simplePos x="0" y="0"/>
              <wp:positionH relativeFrom="column">
                <wp:posOffset>1091565</wp:posOffset>
              </wp:positionH>
              <wp:positionV relativeFrom="paragraph">
                <wp:posOffset>7620</wp:posOffset>
              </wp:positionV>
              <wp:extent cx="4552950" cy="1404620"/>
              <wp:effectExtent l="0" t="0" r="19050" b="2540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1404620"/>
                      </a:xfrm>
                      <a:prstGeom prst="rect">
                        <a:avLst/>
                      </a:prstGeom>
                      <a:solidFill>
                        <a:srgbClr val="FFFFFF"/>
                      </a:solidFill>
                      <a:ln w="9525">
                        <a:solidFill>
                          <a:srgbClr val="000000"/>
                        </a:solidFill>
                        <a:miter lim="800000"/>
                        <a:headEnd/>
                        <a:tailEnd/>
                      </a:ln>
                    </wps:spPr>
                    <wps:txbx>
                      <w:txbxContent>
                        <w:p w:rsidR="00196CD8" w:rsidRDefault="00A65DE3">
                          <w:pPr>
                            <w:rPr>
                              <w:b/>
                              <w:sz w:val="32"/>
                            </w:rPr>
                          </w:pPr>
                          <w:r>
                            <w:rPr>
                              <w:b/>
                              <w:sz w:val="32"/>
                            </w:rPr>
                            <w:t>MUNICÍPIO DE BOM SUCESSO DO SUL – PR</w:t>
                          </w:r>
                        </w:p>
                        <w:p w:rsidR="00196CD8" w:rsidRDefault="00A65DE3">
                          <w:r>
                            <w:rPr>
                              <w:b/>
                              <w:sz w:val="32"/>
                            </w:rPr>
                            <w:t>CNPJ 80.874.100/0001-86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85.95pt;margin-top:.6pt;width:35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">
              <v:textbox style="mso-fit-shape-to-text:t">
                <w:txbxContent>
                  <w:p w:rsidR="00196CD8" w:rsidRDefault="00A65DE3">
                    <w:pPr>
                      <w:rPr>
                        <w:b/>
                        <w:sz w:val="32"/>
                      </w:rPr>
                    </w:pPr>
                    <w:r>
                      <w:rPr>
                        <w:b/>
                        <w:sz w:val="32"/>
                      </w:rPr>
                      <w:t>MUNICÍPIO DE BOM SUCESSO DO SUL – PR</w:t>
                    </w:r>
                  </w:p>
                  <w:p w:rsidR="00196CD8" w:rsidRDefault="00A65DE3">
                    <w:r>
                      <w:rPr>
                        <w:b/>
                        <w:sz w:val="32"/>
                      </w:rPr>
                      <w:t>CNPJ 80.874.100/0001-86</w:t>
                    </w:r>
                  </w:p>
                </w:txbxContent>
              </v:textbox>
              <w10:wrap type="square"/>
            </v:shape>
          </w:pict>
        </mc:Fallback>
      </mc:AlternateContent>
    </w:r>
    <w:r>
      <w:rPr>
        <w:noProof/>
        <w:lang w:eastAsia="pt-BR"/>
      </w:rPr>
      <w:drawing>
        <wp:inline distT="0" distB="0" distL="0" distR="0">
          <wp:extent cx="914400" cy="1048043"/>
          <wp:effectExtent l="0" t="0" r="0" b="0"/>
          <wp:docPr id="1" name="Imagem 1" descr="MunicÃ­pio de Bom Sucesso do S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nicÃ­pio de Bom Sucesso do S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4073" cy="1059130"/>
                  </a:xfrm>
                  <a:prstGeom prst="rect">
                    <a:avLst/>
                  </a:prstGeom>
                  <a:noFill/>
                  <a:ln>
                    <a:noFill/>
                  </a:ln>
                </pic:spPr>
              </pic:pic>
            </a:graphicData>
          </a:graphic>
        </wp:inline>
      </w:drawing>
    </w:r>
  </w:p>
  <w:p w:rsidR="00196CD8" w:rsidRDefault="00196CD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02230"/>
    <w:multiLevelType w:val="multilevel"/>
    <w:tmpl w:val="93A8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35F0E"/>
    <w:multiLevelType w:val="multilevel"/>
    <w:tmpl w:val="D25239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A0B11"/>
    <w:multiLevelType w:val="multilevel"/>
    <w:tmpl w:val="580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F4E93"/>
    <w:multiLevelType w:val="hybridMultilevel"/>
    <w:tmpl w:val="EE20FB46"/>
    <w:lvl w:ilvl="0" w:tplc="387AEFCC">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7DB676C"/>
    <w:multiLevelType w:val="multilevel"/>
    <w:tmpl w:val="B3A081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3F54A0"/>
    <w:multiLevelType w:val="multilevel"/>
    <w:tmpl w:val="72E2DAF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12169"/>
    <w:multiLevelType w:val="multilevel"/>
    <w:tmpl w:val="E94A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E03D6"/>
    <w:multiLevelType w:val="multilevel"/>
    <w:tmpl w:val="A0FC75A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2E5A26"/>
    <w:multiLevelType w:val="multilevel"/>
    <w:tmpl w:val="3F9E106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A053A3"/>
    <w:multiLevelType w:val="multilevel"/>
    <w:tmpl w:val="A000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859FC"/>
    <w:multiLevelType w:val="multilevel"/>
    <w:tmpl w:val="D7F43C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D84AA2"/>
    <w:multiLevelType w:val="multilevel"/>
    <w:tmpl w:val="BB227D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961B14"/>
    <w:multiLevelType w:val="multilevel"/>
    <w:tmpl w:val="0784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937916"/>
    <w:multiLevelType w:val="multilevel"/>
    <w:tmpl w:val="3D0204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1641E8"/>
    <w:multiLevelType w:val="multilevel"/>
    <w:tmpl w:val="21BA4C2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3C7AE0"/>
    <w:multiLevelType w:val="multilevel"/>
    <w:tmpl w:val="7CB6B4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F40749"/>
    <w:multiLevelType w:val="multilevel"/>
    <w:tmpl w:val="6B30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61A5A"/>
    <w:multiLevelType w:val="multilevel"/>
    <w:tmpl w:val="6294279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CC3980"/>
    <w:multiLevelType w:val="multilevel"/>
    <w:tmpl w:val="42FC3D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6A1820"/>
    <w:multiLevelType w:val="multilevel"/>
    <w:tmpl w:val="7C3A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AD583D"/>
    <w:multiLevelType w:val="multilevel"/>
    <w:tmpl w:val="B752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2323CB"/>
    <w:multiLevelType w:val="multilevel"/>
    <w:tmpl w:val="A094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E44C4A"/>
    <w:multiLevelType w:val="multilevel"/>
    <w:tmpl w:val="CDC235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DC6631"/>
    <w:multiLevelType w:val="multilevel"/>
    <w:tmpl w:val="84DA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716003"/>
    <w:multiLevelType w:val="multilevel"/>
    <w:tmpl w:val="52C27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84243E"/>
    <w:multiLevelType w:val="multilevel"/>
    <w:tmpl w:val="4D10DF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270985"/>
    <w:multiLevelType w:val="multilevel"/>
    <w:tmpl w:val="E9E2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C46C3B"/>
    <w:multiLevelType w:val="multilevel"/>
    <w:tmpl w:val="DAB4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FD7102"/>
    <w:multiLevelType w:val="multilevel"/>
    <w:tmpl w:val="3E96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4F3845"/>
    <w:multiLevelType w:val="multilevel"/>
    <w:tmpl w:val="C6C8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4C362C"/>
    <w:multiLevelType w:val="multilevel"/>
    <w:tmpl w:val="D5CA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2443B7"/>
    <w:multiLevelType w:val="multilevel"/>
    <w:tmpl w:val="2940CF6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650FB2"/>
    <w:multiLevelType w:val="multilevel"/>
    <w:tmpl w:val="A95A8F5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322A89"/>
    <w:multiLevelType w:val="multilevel"/>
    <w:tmpl w:val="13A6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5D1F66"/>
    <w:multiLevelType w:val="multilevel"/>
    <w:tmpl w:val="9FC0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453BAF"/>
    <w:multiLevelType w:val="multilevel"/>
    <w:tmpl w:val="B388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86255C"/>
    <w:multiLevelType w:val="multilevel"/>
    <w:tmpl w:val="D12E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B161D0"/>
    <w:multiLevelType w:val="multilevel"/>
    <w:tmpl w:val="50902E8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23"/>
  </w:num>
  <w:num w:numId="4">
    <w:abstractNumId w:val="30"/>
  </w:num>
  <w:num w:numId="5">
    <w:abstractNumId w:val="0"/>
  </w:num>
  <w:num w:numId="6">
    <w:abstractNumId w:val="12"/>
  </w:num>
  <w:num w:numId="7">
    <w:abstractNumId w:val="21"/>
  </w:num>
  <w:num w:numId="8">
    <w:abstractNumId w:val="33"/>
  </w:num>
  <w:num w:numId="9">
    <w:abstractNumId w:val="34"/>
  </w:num>
  <w:num w:numId="10">
    <w:abstractNumId w:val="26"/>
  </w:num>
  <w:num w:numId="11">
    <w:abstractNumId w:val="36"/>
  </w:num>
  <w:num w:numId="12">
    <w:abstractNumId w:val="27"/>
  </w:num>
  <w:num w:numId="13">
    <w:abstractNumId w:val="16"/>
  </w:num>
  <w:num w:numId="14">
    <w:abstractNumId w:val="35"/>
  </w:num>
  <w:num w:numId="15">
    <w:abstractNumId w:val="2"/>
  </w:num>
  <w:num w:numId="16">
    <w:abstractNumId w:val="9"/>
  </w:num>
  <w:num w:numId="17">
    <w:abstractNumId w:val="20"/>
  </w:num>
  <w:num w:numId="18">
    <w:abstractNumId w:val="19"/>
  </w:num>
  <w:num w:numId="19">
    <w:abstractNumId w:val="28"/>
  </w:num>
  <w:num w:numId="20">
    <w:abstractNumId w:val="29"/>
  </w:num>
  <w:num w:numId="21">
    <w:abstractNumId w:val="24"/>
  </w:num>
  <w:num w:numId="22">
    <w:abstractNumId w:val="18"/>
  </w:num>
  <w:num w:numId="23">
    <w:abstractNumId w:val="1"/>
  </w:num>
  <w:num w:numId="24">
    <w:abstractNumId w:val="11"/>
  </w:num>
  <w:num w:numId="25">
    <w:abstractNumId w:val="13"/>
  </w:num>
  <w:num w:numId="26">
    <w:abstractNumId w:val="4"/>
  </w:num>
  <w:num w:numId="27">
    <w:abstractNumId w:val="25"/>
  </w:num>
  <w:num w:numId="28">
    <w:abstractNumId w:val="10"/>
  </w:num>
  <w:num w:numId="29">
    <w:abstractNumId w:val="22"/>
  </w:num>
  <w:num w:numId="30">
    <w:abstractNumId w:val="31"/>
  </w:num>
  <w:num w:numId="31">
    <w:abstractNumId w:val="5"/>
  </w:num>
  <w:num w:numId="32">
    <w:abstractNumId w:val="7"/>
  </w:num>
  <w:num w:numId="33">
    <w:abstractNumId w:val="17"/>
  </w:num>
  <w:num w:numId="34">
    <w:abstractNumId w:val="8"/>
  </w:num>
  <w:num w:numId="35">
    <w:abstractNumId w:val="14"/>
  </w:num>
  <w:num w:numId="36">
    <w:abstractNumId w:val="32"/>
  </w:num>
  <w:num w:numId="37">
    <w:abstractNumId w:val="15"/>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D8"/>
    <w:rsid w:val="00001740"/>
    <w:rsid w:val="00006361"/>
    <w:rsid w:val="000064E6"/>
    <w:rsid w:val="00015FE7"/>
    <w:rsid w:val="000160EB"/>
    <w:rsid w:val="00017702"/>
    <w:rsid w:val="00027912"/>
    <w:rsid w:val="000336F0"/>
    <w:rsid w:val="0004514D"/>
    <w:rsid w:val="00046116"/>
    <w:rsid w:val="0004796B"/>
    <w:rsid w:val="000501A0"/>
    <w:rsid w:val="000519BE"/>
    <w:rsid w:val="000536F3"/>
    <w:rsid w:val="00060F98"/>
    <w:rsid w:val="00061E42"/>
    <w:rsid w:val="00064BBA"/>
    <w:rsid w:val="00075DF8"/>
    <w:rsid w:val="000803B1"/>
    <w:rsid w:val="000835AE"/>
    <w:rsid w:val="000866C2"/>
    <w:rsid w:val="00094459"/>
    <w:rsid w:val="00094B7D"/>
    <w:rsid w:val="000A53F6"/>
    <w:rsid w:val="000A541C"/>
    <w:rsid w:val="000A6047"/>
    <w:rsid w:val="000B461B"/>
    <w:rsid w:val="000B647E"/>
    <w:rsid w:val="000C37F5"/>
    <w:rsid w:val="000C6EF1"/>
    <w:rsid w:val="000D0706"/>
    <w:rsid w:val="001129F4"/>
    <w:rsid w:val="001224CB"/>
    <w:rsid w:val="00123DD9"/>
    <w:rsid w:val="0012731C"/>
    <w:rsid w:val="001522C3"/>
    <w:rsid w:val="00166920"/>
    <w:rsid w:val="00175D9C"/>
    <w:rsid w:val="00193EB1"/>
    <w:rsid w:val="00196CD8"/>
    <w:rsid w:val="001A1CA5"/>
    <w:rsid w:val="001A686A"/>
    <w:rsid w:val="001A6EE0"/>
    <w:rsid w:val="001B1D95"/>
    <w:rsid w:val="001D060B"/>
    <w:rsid w:val="001F4628"/>
    <w:rsid w:val="00200A75"/>
    <w:rsid w:val="00203636"/>
    <w:rsid w:val="00215984"/>
    <w:rsid w:val="0022272B"/>
    <w:rsid w:val="0023702B"/>
    <w:rsid w:val="00252AA0"/>
    <w:rsid w:val="00257ABA"/>
    <w:rsid w:val="0027093C"/>
    <w:rsid w:val="002835BA"/>
    <w:rsid w:val="002901DB"/>
    <w:rsid w:val="002A03F5"/>
    <w:rsid w:val="002A26DC"/>
    <w:rsid w:val="002B4F8E"/>
    <w:rsid w:val="002B569D"/>
    <w:rsid w:val="002C1D6A"/>
    <w:rsid w:val="002C2D1D"/>
    <w:rsid w:val="002C3B9F"/>
    <w:rsid w:val="002C6C00"/>
    <w:rsid w:val="002E1CB3"/>
    <w:rsid w:val="002E6FB3"/>
    <w:rsid w:val="002F267E"/>
    <w:rsid w:val="0030389A"/>
    <w:rsid w:val="00304480"/>
    <w:rsid w:val="00321CD5"/>
    <w:rsid w:val="0033075B"/>
    <w:rsid w:val="0033595C"/>
    <w:rsid w:val="00335EB7"/>
    <w:rsid w:val="0035339F"/>
    <w:rsid w:val="00354513"/>
    <w:rsid w:val="00366A21"/>
    <w:rsid w:val="00367C59"/>
    <w:rsid w:val="00370C6E"/>
    <w:rsid w:val="00382671"/>
    <w:rsid w:val="00392586"/>
    <w:rsid w:val="003968BE"/>
    <w:rsid w:val="003A37FB"/>
    <w:rsid w:val="003D4899"/>
    <w:rsid w:val="003E24FB"/>
    <w:rsid w:val="003E506B"/>
    <w:rsid w:val="003E6823"/>
    <w:rsid w:val="003F3D15"/>
    <w:rsid w:val="003F7716"/>
    <w:rsid w:val="00406695"/>
    <w:rsid w:val="00413971"/>
    <w:rsid w:val="0042518D"/>
    <w:rsid w:val="004301FC"/>
    <w:rsid w:val="004335B4"/>
    <w:rsid w:val="0043777E"/>
    <w:rsid w:val="00457A35"/>
    <w:rsid w:val="00457E65"/>
    <w:rsid w:val="004769F3"/>
    <w:rsid w:val="004952FD"/>
    <w:rsid w:val="004970CA"/>
    <w:rsid w:val="004A10DB"/>
    <w:rsid w:val="004A1572"/>
    <w:rsid w:val="004B359A"/>
    <w:rsid w:val="004D2E60"/>
    <w:rsid w:val="004D733D"/>
    <w:rsid w:val="004E1797"/>
    <w:rsid w:val="004E1F31"/>
    <w:rsid w:val="004F4AFA"/>
    <w:rsid w:val="00500CE4"/>
    <w:rsid w:val="00506029"/>
    <w:rsid w:val="0050706B"/>
    <w:rsid w:val="00507F19"/>
    <w:rsid w:val="0051135B"/>
    <w:rsid w:val="00511C60"/>
    <w:rsid w:val="00517563"/>
    <w:rsid w:val="00520739"/>
    <w:rsid w:val="00547A17"/>
    <w:rsid w:val="00551152"/>
    <w:rsid w:val="00551E11"/>
    <w:rsid w:val="005531F9"/>
    <w:rsid w:val="005536CD"/>
    <w:rsid w:val="005613D5"/>
    <w:rsid w:val="0056736B"/>
    <w:rsid w:val="00595887"/>
    <w:rsid w:val="005A1262"/>
    <w:rsid w:val="005C4DD5"/>
    <w:rsid w:val="005C5EB3"/>
    <w:rsid w:val="005D1180"/>
    <w:rsid w:val="005D6785"/>
    <w:rsid w:val="005E73D6"/>
    <w:rsid w:val="005F4A99"/>
    <w:rsid w:val="005F6175"/>
    <w:rsid w:val="005F6E08"/>
    <w:rsid w:val="00600956"/>
    <w:rsid w:val="006055C3"/>
    <w:rsid w:val="00637B27"/>
    <w:rsid w:val="0065373A"/>
    <w:rsid w:val="00654BC5"/>
    <w:rsid w:val="00662A31"/>
    <w:rsid w:val="00663D01"/>
    <w:rsid w:val="00676C9E"/>
    <w:rsid w:val="00681743"/>
    <w:rsid w:val="00692BD3"/>
    <w:rsid w:val="00697A05"/>
    <w:rsid w:val="006D3F66"/>
    <w:rsid w:val="006D65B6"/>
    <w:rsid w:val="00705505"/>
    <w:rsid w:val="00735621"/>
    <w:rsid w:val="00737D86"/>
    <w:rsid w:val="007418B2"/>
    <w:rsid w:val="00743CC2"/>
    <w:rsid w:val="00750AE8"/>
    <w:rsid w:val="007533F5"/>
    <w:rsid w:val="00757DEA"/>
    <w:rsid w:val="00760D52"/>
    <w:rsid w:val="0077535C"/>
    <w:rsid w:val="0078090B"/>
    <w:rsid w:val="007848AF"/>
    <w:rsid w:val="00792E33"/>
    <w:rsid w:val="00796258"/>
    <w:rsid w:val="007A136A"/>
    <w:rsid w:val="007C231D"/>
    <w:rsid w:val="007D173F"/>
    <w:rsid w:val="007D21A1"/>
    <w:rsid w:val="007D761C"/>
    <w:rsid w:val="007F0A09"/>
    <w:rsid w:val="007F1CE8"/>
    <w:rsid w:val="0080514E"/>
    <w:rsid w:val="00817263"/>
    <w:rsid w:val="00817C85"/>
    <w:rsid w:val="00821E19"/>
    <w:rsid w:val="00825813"/>
    <w:rsid w:val="008302D7"/>
    <w:rsid w:val="008320F7"/>
    <w:rsid w:val="00833EC3"/>
    <w:rsid w:val="00834CD2"/>
    <w:rsid w:val="008377F4"/>
    <w:rsid w:val="00845DCD"/>
    <w:rsid w:val="00864720"/>
    <w:rsid w:val="00890531"/>
    <w:rsid w:val="008D72CE"/>
    <w:rsid w:val="008D73A1"/>
    <w:rsid w:val="008E6B22"/>
    <w:rsid w:val="008F1655"/>
    <w:rsid w:val="009045C9"/>
    <w:rsid w:val="00935773"/>
    <w:rsid w:val="0094322A"/>
    <w:rsid w:val="00955677"/>
    <w:rsid w:val="009658D5"/>
    <w:rsid w:val="00965A90"/>
    <w:rsid w:val="00970C8A"/>
    <w:rsid w:val="00971426"/>
    <w:rsid w:val="00987C53"/>
    <w:rsid w:val="009926B4"/>
    <w:rsid w:val="00992DC5"/>
    <w:rsid w:val="009951E9"/>
    <w:rsid w:val="009B23F4"/>
    <w:rsid w:val="009B635D"/>
    <w:rsid w:val="009C272C"/>
    <w:rsid w:val="009D1E7A"/>
    <w:rsid w:val="009D3DC2"/>
    <w:rsid w:val="009D7CD8"/>
    <w:rsid w:val="009E2A55"/>
    <w:rsid w:val="009F3550"/>
    <w:rsid w:val="00A05311"/>
    <w:rsid w:val="00A123D0"/>
    <w:rsid w:val="00A3105B"/>
    <w:rsid w:val="00A52710"/>
    <w:rsid w:val="00A63513"/>
    <w:rsid w:val="00A65DE3"/>
    <w:rsid w:val="00A73E82"/>
    <w:rsid w:val="00A82E8E"/>
    <w:rsid w:val="00A87373"/>
    <w:rsid w:val="00A92C73"/>
    <w:rsid w:val="00AC2792"/>
    <w:rsid w:val="00AC31D8"/>
    <w:rsid w:val="00AD5BE3"/>
    <w:rsid w:val="00AE6752"/>
    <w:rsid w:val="00AF5096"/>
    <w:rsid w:val="00B2694B"/>
    <w:rsid w:val="00B347AC"/>
    <w:rsid w:val="00B36F6E"/>
    <w:rsid w:val="00B4520F"/>
    <w:rsid w:val="00B84112"/>
    <w:rsid w:val="00B85E1B"/>
    <w:rsid w:val="00B93FF2"/>
    <w:rsid w:val="00BA5619"/>
    <w:rsid w:val="00BB1EA2"/>
    <w:rsid w:val="00BD1752"/>
    <w:rsid w:val="00BD5357"/>
    <w:rsid w:val="00C06850"/>
    <w:rsid w:val="00C17001"/>
    <w:rsid w:val="00C231C8"/>
    <w:rsid w:val="00C52A12"/>
    <w:rsid w:val="00C54098"/>
    <w:rsid w:val="00C54229"/>
    <w:rsid w:val="00C605CA"/>
    <w:rsid w:val="00C74777"/>
    <w:rsid w:val="00C80CD3"/>
    <w:rsid w:val="00C963B4"/>
    <w:rsid w:val="00CA00D2"/>
    <w:rsid w:val="00CA13F3"/>
    <w:rsid w:val="00CA2446"/>
    <w:rsid w:val="00CA2AFA"/>
    <w:rsid w:val="00CC26D5"/>
    <w:rsid w:val="00CC796D"/>
    <w:rsid w:val="00CD25F1"/>
    <w:rsid w:val="00CD5492"/>
    <w:rsid w:val="00CE3959"/>
    <w:rsid w:val="00CE5070"/>
    <w:rsid w:val="00CF058E"/>
    <w:rsid w:val="00CF3781"/>
    <w:rsid w:val="00CF3B1B"/>
    <w:rsid w:val="00CF6E70"/>
    <w:rsid w:val="00D0589B"/>
    <w:rsid w:val="00D14A50"/>
    <w:rsid w:val="00D15BEA"/>
    <w:rsid w:val="00D23287"/>
    <w:rsid w:val="00D27FED"/>
    <w:rsid w:val="00D3689A"/>
    <w:rsid w:val="00D44D51"/>
    <w:rsid w:val="00D455D5"/>
    <w:rsid w:val="00D669E8"/>
    <w:rsid w:val="00D76FC3"/>
    <w:rsid w:val="00D80719"/>
    <w:rsid w:val="00D94168"/>
    <w:rsid w:val="00DA0073"/>
    <w:rsid w:val="00DA225E"/>
    <w:rsid w:val="00DB07EF"/>
    <w:rsid w:val="00DB7A78"/>
    <w:rsid w:val="00DC5933"/>
    <w:rsid w:val="00DD0853"/>
    <w:rsid w:val="00DD1787"/>
    <w:rsid w:val="00DD1B03"/>
    <w:rsid w:val="00DD38A2"/>
    <w:rsid w:val="00DE1424"/>
    <w:rsid w:val="00DF5780"/>
    <w:rsid w:val="00E000A2"/>
    <w:rsid w:val="00E25652"/>
    <w:rsid w:val="00E275AE"/>
    <w:rsid w:val="00E300DF"/>
    <w:rsid w:val="00E45FA2"/>
    <w:rsid w:val="00E53D14"/>
    <w:rsid w:val="00E653DF"/>
    <w:rsid w:val="00E723FB"/>
    <w:rsid w:val="00E734DD"/>
    <w:rsid w:val="00E74604"/>
    <w:rsid w:val="00E911E8"/>
    <w:rsid w:val="00E94BA8"/>
    <w:rsid w:val="00E94CA0"/>
    <w:rsid w:val="00EB1550"/>
    <w:rsid w:val="00EB1705"/>
    <w:rsid w:val="00EC2371"/>
    <w:rsid w:val="00EF18A4"/>
    <w:rsid w:val="00EF2E70"/>
    <w:rsid w:val="00EF503C"/>
    <w:rsid w:val="00EF69A8"/>
    <w:rsid w:val="00F00136"/>
    <w:rsid w:val="00F00532"/>
    <w:rsid w:val="00F06139"/>
    <w:rsid w:val="00F0738F"/>
    <w:rsid w:val="00F11F64"/>
    <w:rsid w:val="00F253B6"/>
    <w:rsid w:val="00F32FB3"/>
    <w:rsid w:val="00F33BF3"/>
    <w:rsid w:val="00F41A6D"/>
    <w:rsid w:val="00F470F4"/>
    <w:rsid w:val="00F51883"/>
    <w:rsid w:val="00F526F5"/>
    <w:rsid w:val="00F5279C"/>
    <w:rsid w:val="00F53CE0"/>
    <w:rsid w:val="00F55D0C"/>
    <w:rsid w:val="00F56D7F"/>
    <w:rsid w:val="00F62EAF"/>
    <w:rsid w:val="00F7771B"/>
    <w:rsid w:val="00F81B3E"/>
    <w:rsid w:val="00F81B6D"/>
    <w:rsid w:val="00F84A68"/>
    <w:rsid w:val="00F90836"/>
    <w:rsid w:val="00F918D0"/>
    <w:rsid w:val="00FA4BAF"/>
    <w:rsid w:val="00FA4EFC"/>
    <w:rsid w:val="00FB30FF"/>
    <w:rsid w:val="00FD2CBC"/>
    <w:rsid w:val="00FE0BC3"/>
    <w:rsid w:val="00FE2575"/>
    <w:rsid w:val="00FF675C"/>
    <w:rsid w:val="00FF7E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B993CD-7912-4BA6-980E-2F925824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04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C79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C80CD3"/>
    <w:pPr>
      <w:keepNext/>
      <w:outlineLvl w:val="1"/>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style>
  <w:style w:type="character" w:styleId="Hyperlink">
    <w:name w:val="Hyperlink"/>
    <w:basedOn w:val="Fontepargpadro"/>
    <w:uiPriority w:val="99"/>
    <w:unhideWhenUsed/>
    <w:rPr>
      <w:color w:val="0563C1" w:themeColor="hyperlink"/>
      <w:u w:val="single"/>
    </w:rPr>
  </w:style>
  <w:style w:type="table" w:styleId="Tabelacomgrade">
    <w:name w:val="Table Grid"/>
    <w:basedOn w:val="Tabelanormal"/>
    <w:rsid w:val="00430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CE3959"/>
    <w:pPr>
      <w:widowControl w:val="0"/>
      <w:suppressAutoHyphens/>
      <w:spacing w:after="120"/>
    </w:pPr>
    <w:rPr>
      <w:rFonts w:eastAsia="Lucida Sans Unicode"/>
      <w:kern w:val="1"/>
      <w:lang w:eastAsia="zh-CN"/>
    </w:rPr>
  </w:style>
  <w:style w:type="character" w:customStyle="1" w:styleId="CorpodetextoChar">
    <w:name w:val="Corpo de texto Char"/>
    <w:basedOn w:val="Fontepargpadro"/>
    <w:link w:val="Corpodetexto"/>
    <w:rsid w:val="00CE3959"/>
    <w:rPr>
      <w:rFonts w:ascii="Times New Roman" w:eastAsia="Lucida Sans Unicode" w:hAnsi="Times New Roman" w:cs="Times New Roman"/>
      <w:kern w:val="1"/>
      <w:sz w:val="24"/>
      <w:szCs w:val="24"/>
      <w:lang w:eastAsia="zh-CN"/>
    </w:rPr>
  </w:style>
  <w:style w:type="paragraph" w:styleId="PargrafodaLista">
    <w:name w:val="List Paragraph"/>
    <w:basedOn w:val="Normal"/>
    <w:uiPriority w:val="34"/>
    <w:qFormat/>
    <w:rsid w:val="002B4F8E"/>
    <w:pPr>
      <w:ind w:left="720"/>
      <w:contextualSpacing/>
    </w:pPr>
  </w:style>
  <w:style w:type="character" w:customStyle="1" w:styleId="Ttulo2Char">
    <w:name w:val="Título 2 Char"/>
    <w:basedOn w:val="Fontepargpadro"/>
    <w:link w:val="Ttulo2"/>
    <w:rsid w:val="00C80CD3"/>
    <w:rPr>
      <w:rFonts w:ascii="Arial" w:eastAsia="Times New Roman" w:hAnsi="Arial" w:cs="Times New Roman"/>
      <w:b/>
      <w:szCs w:val="20"/>
      <w:lang w:eastAsia="pt-BR"/>
    </w:rPr>
  </w:style>
  <w:style w:type="paragraph" w:styleId="Textodebalo">
    <w:name w:val="Balloon Text"/>
    <w:basedOn w:val="Normal"/>
    <w:link w:val="TextodebaloChar"/>
    <w:uiPriority w:val="99"/>
    <w:semiHidden/>
    <w:unhideWhenUsed/>
    <w:rsid w:val="00DB7A78"/>
    <w:rPr>
      <w:rFonts w:ascii="Segoe UI" w:hAnsi="Segoe UI" w:cs="Segoe UI"/>
      <w:sz w:val="18"/>
      <w:szCs w:val="18"/>
    </w:rPr>
  </w:style>
  <w:style w:type="character" w:customStyle="1" w:styleId="TextodebaloChar">
    <w:name w:val="Texto de balão Char"/>
    <w:basedOn w:val="Fontepargpadro"/>
    <w:link w:val="Textodebalo"/>
    <w:uiPriority w:val="99"/>
    <w:semiHidden/>
    <w:rsid w:val="00DB7A78"/>
    <w:rPr>
      <w:rFonts w:ascii="Segoe UI" w:eastAsia="Times New Roman" w:hAnsi="Segoe UI" w:cs="Segoe UI"/>
      <w:sz w:val="18"/>
      <w:szCs w:val="18"/>
      <w:lang w:eastAsia="pt-BR"/>
    </w:rPr>
  </w:style>
  <w:style w:type="paragraph" w:styleId="SemEspaamento">
    <w:name w:val="No Spacing"/>
    <w:uiPriority w:val="1"/>
    <w:qFormat/>
    <w:rsid w:val="00817263"/>
    <w:pPr>
      <w:spacing w:after="0" w:line="240" w:lineRule="auto"/>
    </w:pPr>
  </w:style>
  <w:style w:type="character" w:customStyle="1" w:styleId="Ttulo1Char">
    <w:name w:val="Título 1 Char"/>
    <w:basedOn w:val="Fontepargpadro"/>
    <w:link w:val="Ttulo1"/>
    <w:uiPriority w:val="9"/>
    <w:rsid w:val="00CC796D"/>
    <w:rPr>
      <w:rFonts w:asciiTheme="majorHAnsi" w:eastAsiaTheme="majorEastAsia" w:hAnsiTheme="majorHAnsi" w:cstheme="majorBidi"/>
      <w:color w:val="2E74B5"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abinete@bssu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00DBA-20EA-4CB0-B2FA-73BFF0B05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2092</Words>
  <Characters>11300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Vilmar</dc:creator>
  <cp:keywords/>
  <dc:description/>
  <cp:lastModifiedBy>Fabio</cp:lastModifiedBy>
  <cp:revision>13</cp:revision>
  <cp:lastPrinted>2026-03-13T14:10:00Z</cp:lastPrinted>
  <dcterms:created xsi:type="dcterms:W3CDTF">2026-03-12T19:31:00Z</dcterms:created>
  <dcterms:modified xsi:type="dcterms:W3CDTF">2026-03-13T14:10:00Z</dcterms:modified>
</cp:coreProperties>
</file>