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39FA16" w14:textId="057FE186" w:rsidR="000131BB" w:rsidRPr="00B35966" w:rsidRDefault="000131BB" w:rsidP="00CE74E4">
      <w:pPr>
        <w:spacing w:line="360" w:lineRule="auto"/>
        <w:jc w:val="both"/>
        <w:rPr>
          <w:rFonts w:ascii="Verdana" w:hAnsi="Verdana" w:cs="Arial"/>
          <w:sz w:val="21"/>
          <w:szCs w:val="21"/>
        </w:rPr>
      </w:pPr>
    </w:p>
    <w:p w14:paraId="00F8E411" w14:textId="77777777" w:rsidR="00CC2EDA" w:rsidRPr="00B35966" w:rsidRDefault="00CC2EDA" w:rsidP="00CE74E4">
      <w:pPr>
        <w:spacing w:line="360" w:lineRule="auto"/>
        <w:jc w:val="both"/>
        <w:rPr>
          <w:rFonts w:ascii="Verdana" w:hAnsi="Verdana" w:cs="Arial"/>
          <w:sz w:val="21"/>
          <w:szCs w:val="21"/>
        </w:rPr>
      </w:pPr>
    </w:p>
    <w:p w14:paraId="320A9278" w14:textId="77777777" w:rsidR="007836D6" w:rsidRPr="00B35966" w:rsidRDefault="007836D6" w:rsidP="001F6D2C">
      <w:pPr>
        <w:spacing w:line="360" w:lineRule="auto"/>
        <w:jc w:val="center"/>
        <w:rPr>
          <w:rFonts w:ascii="Verdana" w:hAnsi="Verdana" w:cs="Arial"/>
          <w:b/>
          <w:bCs/>
          <w:sz w:val="21"/>
          <w:szCs w:val="21"/>
        </w:rPr>
        <w:sectPr w:rsidR="007836D6" w:rsidRPr="00B35966" w:rsidSect="00B35966">
          <w:footerReference w:type="default" r:id="rId7"/>
          <w:pgSz w:w="11907" w:h="16840" w:code="9"/>
          <w:pgMar w:top="284" w:right="851" w:bottom="1418" w:left="1418" w:header="709" w:footer="709" w:gutter="0"/>
          <w:cols w:space="708"/>
          <w:docGrid w:linePitch="360"/>
        </w:sectPr>
      </w:pPr>
    </w:p>
    <w:p w14:paraId="2DFD0DE9" w14:textId="77777777" w:rsidR="007836D6" w:rsidRPr="00B35966" w:rsidRDefault="007836D6" w:rsidP="007836D6">
      <w:pPr>
        <w:spacing w:line="360" w:lineRule="auto"/>
        <w:jc w:val="center"/>
        <w:rPr>
          <w:rFonts w:ascii="Verdana" w:hAnsi="Verdana" w:cs="Arial"/>
          <w:b/>
          <w:bCs/>
          <w:sz w:val="21"/>
          <w:szCs w:val="21"/>
        </w:rPr>
      </w:pPr>
    </w:p>
    <w:p w14:paraId="6EC42832" w14:textId="77777777" w:rsidR="002A2CCF" w:rsidRPr="00B35966" w:rsidRDefault="002A2CCF" w:rsidP="00CE74E4">
      <w:pPr>
        <w:rPr>
          <w:rFonts w:ascii="Verdana" w:hAnsi="Verdana" w:cs="Arial"/>
          <w:sz w:val="21"/>
          <w:szCs w:val="21"/>
        </w:rPr>
      </w:pPr>
    </w:p>
    <w:p w14:paraId="6F422BC6" w14:textId="77777777" w:rsidR="00B35966" w:rsidRPr="00B35966" w:rsidRDefault="00B35966" w:rsidP="00CE74E4">
      <w:pPr>
        <w:rPr>
          <w:rFonts w:ascii="Verdana" w:hAnsi="Verdana" w:cs="Arial"/>
          <w:sz w:val="21"/>
          <w:szCs w:val="21"/>
        </w:rPr>
      </w:pPr>
    </w:p>
    <w:p w14:paraId="160CE8DC" w14:textId="77777777" w:rsidR="00B35966" w:rsidRPr="00B35966" w:rsidRDefault="00B35966" w:rsidP="00CE74E4">
      <w:pPr>
        <w:rPr>
          <w:rFonts w:ascii="Verdana" w:hAnsi="Verdana" w:cs="Arial"/>
          <w:sz w:val="21"/>
          <w:szCs w:val="21"/>
        </w:rPr>
      </w:pPr>
    </w:p>
    <w:p w14:paraId="2F06EF1B" w14:textId="77777777" w:rsidR="00B35966" w:rsidRPr="00B35966" w:rsidRDefault="00B35966" w:rsidP="00B35966">
      <w:pPr>
        <w:spacing w:line="360" w:lineRule="auto"/>
        <w:ind w:firstLine="709"/>
        <w:jc w:val="center"/>
        <w:rPr>
          <w:rFonts w:ascii="Verdana" w:hAnsi="Verdana"/>
          <w:b/>
          <w:bCs/>
          <w:sz w:val="21"/>
          <w:szCs w:val="21"/>
        </w:rPr>
      </w:pPr>
      <w:bookmarkStart w:id="0" w:name="_Hlk82471863"/>
      <w:r w:rsidRPr="00B35966">
        <w:rPr>
          <w:rFonts w:ascii="Verdana" w:hAnsi="Verdana"/>
          <w:b/>
          <w:bCs/>
          <w:sz w:val="21"/>
          <w:szCs w:val="21"/>
        </w:rPr>
        <w:t>ESTUDO TÉCNICO PRELIMINAR</w:t>
      </w:r>
    </w:p>
    <w:p w14:paraId="380FBC3F" w14:textId="77777777" w:rsidR="00B35966" w:rsidRPr="00B35966" w:rsidRDefault="00B35966" w:rsidP="00B35966">
      <w:pPr>
        <w:spacing w:line="360" w:lineRule="auto"/>
        <w:ind w:firstLine="709"/>
        <w:jc w:val="both"/>
        <w:rPr>
          <w:rFonts w:ascii="Verdana" w:hAnsi="Verdana"/>
          <w:sz w:val="21"/>
          <w:szCs w:val="21"/>
        </w:rPr>
      </w:pPr>
    </w:p>
    <w:p w14:paraId="4EB583C5" w14:textId="77777777" w:rsidR="00B35966" w:rsidRPr="00B35966" w:rsidRDefault="00B35966" w:rsidP="00B35966">
      <w:pPr>
        <w:spacing w:line="360" w:lineRule="auto"/>
        <w:jc w:val="both"/>
        <w:rPr>
          <w:rFonts w:ascii="Verdana" w:hAnsi="Verdana"/>
          <w:b/>
          <w:sz w:val="21"/>
          <w:szCs w:val="21"/>
        </w:rPr>
      </w:pPr>
      <w:r w:rsidRPr="00B35966">
        <w:rPr>
          <w:rFonts w:ascii="Verdana" w:hAnsi="Verdana"/>
          <w:b/>
          <w:sz w:val="21"/>
          <w:szCs w:val="21"/>
        </w:rPr>
        <w:t xml:space="preserve">I – Descrição da contratação: </w:t>
      </w:r>
    </w:p>
    <w:p w14:paraId="248CEFF7" w14:textId="77777777" w:rsidR="00B35966" w:rsidRPr="00B35966" w:rsidRDefault="00B35966" w:rsidP="00B35966">
      <w:pPr>
        <w:spacing w:line="360" w:lineRule="auto"/>
        <w:ind w:firstLine="708"/>
        <w:jc w:val="both"/>
        <w:rPr>
          <w:rFonts w:ascii="Verdana" w:hAnsi="Verdana" w:cs="Tahoma"/>
          <w:sz w:val="21"/>
          <w:szCs w:val="21"/>
        </w:rPr>
      </w:pPr>
      <w:r w:rsidRPr="00B35966">
        <w:rPr>
          <w:rFonts w:ascii="Verdana" w:hAnsi="Verdana"/>
          <w:sz w:val="21"/>
          <w:szCs w:val="21"/>
        </w:rPr>
        <w:t xml:space="preserve">Trata-se da </w:t>
      </w:r>
      <w:r w:rsidRPr="00B35966">
        <w:rPr>
          <w:rFonts w:ascii="Verdana" w:hAnsi="Verdana"/>
          <w:b/>
          <w:bCs/>
          <w:sz w:val="21"/>
          <w:szCs w:val="21"/>
        </w:rPr>
        <w:t>Contratação de empresa especializada para prestação de serviços técnicos continuados de assessoria e apoio à captação de recursos e à gestão de transferências voluntárias, abrangendo a orientação técnica, acompanhamento, monitoramento, capacitação e suporte operacional às áreas da Administração Municipal, desde a estruturação das propostas até a prestação de contas, observadas as normativas federais vigentes para atender as demandas do Município de Bom Sucesso do Sul/PR.</w:t>
      </w:r>
    </w:p>
    <w:p w14:paraId="4DDE9093" w14:textId="77777777" w:rsidR="00B35966" w:rsidRPr="00B35966" w:rsidRDefault="00B35966" w:rsidP="00B35966">
      <w:pPr>
        <w:spacing w:line="360" w:lineRule="auto"/>
        <w:ind w:firstLine="709"/>
        <w:jc w:val="both"/>
        <w:rPr>
          <w:rFonts w:ascii="Verdana" w:hAnsi="Verdana"/>
          <w:sz w:val="21"/>
          <w:szCs w:val="21"/>
        </w:rPr>
      </w:pPr>
      <w:r w:rsidRPr="00B35966">
        <w:rPr>
          <w:rFonts w:ascii="Verdana" w:hAnsi="Verdana"/>
          <w:sz w:val="21"/>
          <w:szCs w:val="21"/>
        </w:rPr>
        <w:t xml:space="preserve">A empresa contratada atuará de forma </w:t>
      </w:r>
      <w:r w:rsidRPr="00B35966">
        <w:rPr>
          <w:rFonts w:ascii="Verdana" w:hAnsi="Verdana"/>
          <w:b/>
          <w:bCs/>
          <w:sz w:val="21"/>
          <w:szCs w:val="21"/>
        </w:rPr>
        <w:t>técnica, independente e colaborativa</w:t>
      </w:r>
      <w:r w:rsidRPr="00B35966">
        <w:rPr>
          <w:rFonts w:ascii="Verdana" w:hAnsi="Verdana"/>
          <w:sz w:val="21"/>
          <w:szCs w:val="21"/>
        </w:rPr>
        <w:t>, em articulação direta com a Administração Municipal, observando a legislação federal, estadual e municipal aplicável, especialmente a Lei nº 14.133/2021, bem como os princípios da legalidade, impessoalidade, moralidade, publicidade, eficiência, economicidade, transparência e interesse público, além das normas relativas à responsabilidade fiscal e à proteção de dados pessoais.</w:t>
      </w:r>
    </w:p>
    <w:p w14:paraId="6E5D39EE" w14:textId="77777777" w:rsidR="00B35966" w:rsidRPr="00B35966" w:rsidRDefault="00B35966" w:rsidP="00B35966">
      <w:pPr>
        <w:spacing w:line="360" w:lineRule="auto"/>
        <w:ind w:firstLine="709"/>
        <w:jc w:val="both"/>
        <w:rPr>
          <w:rFonts w:ascii="Verdana" w:hAnsi="Verdana"/>
          <w:sz w:val="21"/>
          <w:szCs w:val="21"/>
        </w:rPr>
      </w:pPr>
    </w:p>
    <w:p w14:paraId="09845A32" w14:textId="77777777" w:rsidR="00B35966" w:rsidRPr="00B35966" w:rsidRDefault="00B35966" w:rsidP="00B35966">
      <w:pPr>
        <w:spacing w:line="360" w:lineRule="auto"/>
        <w:jc w:val="both"/>
        <w:rPr>
          <w:rFonts w:ascii="Verdana" w:hAnsi="Verdana"/>
          <w:sz w:val="21"/>
          <w:szCs w:val="21"/>
        </w:rPr>
      </w:pPr>
      <w:r w:rsidRPr="00B35966">
        <w:rPr>
          <w:rFonts w:ascii="Verdana" w:hAnsi="Verdana"/>
          <w:b/>
          <w:sz w:val="21"/>
          <w:szCs w:val="21"/>
        </w:rPr>
        <w:t>II - Justificativa da contratação</w:t>
      </w:r>
      <w:r w:rsidRPr="00B35966">
        <w:rPr>
          <w:rFonts w:ascii="Verdana" w:hAnsi="Verdana"/>
          <w:sz w:val="21"/>
          <w:szCs w:val="21"/>
        </w:rPr>
        <w:t>:</w:t>
      </w:r>
    </w:p>
    <w:p w14:paraId="3584F805" w14:textId="77777777" w:rsidR="00B35966" w:rsidRPr="00B35966" w:rsidRDefault="00B35966" w:rsidP="00B35966">
      <w:pPr>
        <w:spacing w:line="360" w:lineRule="auto"/>
        <w:ind w:firstLine="709"/>
        <w:jc w:val="both"/>
        <w:rPr>
          <w:rFonts w:ascii="Verdana" w:hAnsi="Verdana"/>
          <w:sz w:val="21"/>
          <w:szCs w:val="21"/>
        </w:rPr>
      </w:pPr>
      <w:r w:rsidRPr="00B35966">
        <w:rPr>
          <w:rFonts w:ascii="Verdana" w:hAnsi="Verdana"/>
          <w:sz w:val="21"/>
          <w:szCs w:val="21"/>
        </w:rPr>
        <w:t>A presente contratação justifica-se pela necessidade permanente de apoio técnico especializado para o desenvolvimento, a correta instrução administrativa e o acompanhamento técnico de projetos e iniciativas institucionais que envolvem transferências voluntárias de recursos e programas governamentais, cujos procedimentos demandam conhecimento técnico específico, experiência prática consolidada e atualização contínua quanto às normas, sistemas e fluxos administrativos aplicáveis.</w:t>
      </w:r>
    </w:p>
    <w:p w14:paraId="492BB913" w14:textId="77777777" w:rsidR="00B35966" w:rsidRPr="00B35966" w:rsidRDefault="00B35966" w:rsidP="00B35966">
      <w:pPr>
        <w:spacing w:line="360" w:lineRule="auto"/>
        <w:ind w:firstLine="709"/>
        <w:jc w:val="both"/>
        <w:rPr>
          <w:rFonts w:ascii="Verdana" w:hAnsi="Verdana"/>
          <w:sz w:val="21"/>
          <w:szCs w:val="21"/>
        </w:rPr>
      </w:pPr>
      <w:r w:rsidRPr="00B35966">
        <w:rPr>
          <w:rFonts w:ascii="Verdana" w:hAnsi="Verdana"/>
          <w:sz w:val="21"/>
          <w:szCs w:val="21"/>
        </w:rPr>
        <w:t>O Município de Bom Sucesso do Sul/PR enfrenta demandas recorrentes relacionadas à elaboração técnica de projetos, organização documental, observância de prazos, utilização adequada de sistemas oficiais e prestação de contas, atividades que exigem atuação integrada, interpretação normativa qualificada e aplicação metodológica do conhecimento, não disponíveis de forma estruturada e contínua no quadro permanente de servidores.</w:t>
      </w:r>
    </w:p>
    <w:p w14:paraId="2D67DEE7" w14:textId="77777777" w:rsidR="00B35966" w:rsidRPr="00B35966" w:rsidRDefault="00B35966" w:rsidP="00B35966">
      <w:pPr>
        <w:spacing w:line="360" w:lineRule="auto"/>
        <w:ind w:firstLine="709"/>
        <w:jc w:val="both"/>
        <w:rPr>
          <w:rFonts w:ascii="Verdana" w:hAnsi="Verdana"/>
          <w:sz w:val="21"/>
          <w:szCs w:val="21"/>
        </w:rPr>
      </w:pPr>
      <w:r w:rsidRPr="00B35966">
        <w:rPr>
          <w:rFonts w:ascii="Verdana" w:hAnsi="Verdana"/>
          <w:sz w:val="21"/>
          <w:szCs w:val="21"/>
        </w:rPr>
        <w:t>A contratação não tem por finalidade substituir atribuições dos servidores municipais, mas complementar e qualificar a atuação administrativa, por meio de assessoramento técnico especializado, capacitação prática e acompanhamento metodológico, possibilitando a internalização do conhecimento técnico, a padronização de procedimentos e o fortalecimento da gestão pública municipal.</w:t>
      </w:r>
    </w:p>
    <w:p w14:paraId="04DF04F6" w14:textId="77777777" w:rsidR="00B35966" w:rsidRPr="00B35966" w:rsidRDefault="00B35966" w:rsidP="00B35966">
      <w:pPr>
        <w:spacing w:line="360" w:lineRule="auto"/>
        <w:ind w:firstLine="709"/>
        <w:jc w:val="both"/>
        <w:rPr>
          <w:rFonts w:ascii="Verdana" w:hAnsi="Verdana"/>
          <w:sz w:val="21"/>
          <w:szCs w:val="21"/>
        </w:rPr>
      </w:pPr>
    </w:p>
    <w:p w14:paraId="7ACDF7F4" w14:textId="77777777" w:rsidR="00B35966" w:rsidRPr="00B35966" w:rsidRDefault="00B35966" w:rsidP="00B35966">
      <w:pPr>
        <w:spacing w:line="360" w:lineRule="auto"/>
        <w:ind w:firstLine="709"/>
        <w:jc w:val="both"/>
        <w:rPr>
          <w:rFonts w:ascii="Verdana" w:hAnsi="Verdana"/>
          <w:sz w:val="21"/>
          <w:szCs w:val="21"/>
        </w:rPr>
      </w:pPr>
    </w:p>
    <w:p w14:paraId="4AAE3A62" w14:textId="77777777" w:rsidR="00B35966" w:rsidRPr="00B35966" w:rsidRDefault="00B35966" w:rsidP="00B35966">
      <w:pPr>
        <w:spacing w:line="360" w:lineRule="auto"/>
        <w:jc w:val="both"/>
        <w:rPr>
          <w:rFonts w:ascii="Verdana" w:hAnsi="Verdana"/>
          <w:b/>
          <w:sz w:val="21"/>
          <w:szCs w:val="21"/>
        </w:rPr>
      </w:pPr>
      <w:r w:rsidRPr="00B35966">
        <w:rPr>
          <w:rFonts w:ascii="Verdana" w:hAnsi="Verdana"/>
          <w:b/>
          <w:sz w:val="21"/>
          <w:szCs w:val="21"/>
        </w:rPr>
        <w:t>III - Levantamento de mercado:</w:t>
      </w:r>
    </w:p>
    <w:p w14:paraId="1902AD6D" w14:textId="77777777" w:rsidR="00B35966" w:rsidRPr="00B35966" w:rsidRDefault="00B35966" w:rsidP="00B35966">
      <w:pPr>
        <w:shd w:val="clear" w:color="auto" w:fill="FFFFFF" w:themeFill="background1"/>
        <w:spacing w:line="360" w:lineRule="auto"/>
        <w:ind w:firstLine="709"/>
        <w:jc w:val="both"/>
        <w:rPr>
          <w:rFonts w:ascii="Verdana" w:hAnsi="Verdana"/>
          <w:sz w:val="21"/>
          <w:szCs w:val="21"/>
        </w:rPr>
      </w:pPr>
      <w:r w:rsidRPr="00B35966">
        <w:rPr>
          <w:rFonts w:ascii="Verdana" w:hAnsi="Verdana"/>
          <w:sz w:val="21"/>
          <w:szCs w:val="21"/>
        </w:rPr>
        <w:t>O levantamento de mercado realizado evidenciou que os serviços pretendidos não se enquadram em um padrão homogêneo ou comparável de execução, uma vez que envolvem metodologias próprias de trabalho, diferentes formas de aplicação do conhecimento técnico e níveis distintos de aprofundamento na análise, interpretação normativa e acompanhamento das demandas administrativas.</w:t>
      </w:r>
    </w:p>
    <w:p w14:paraId="16C3F0B0" w14:textId="77777777" w:rsidR="00B35966" w:rsidRPr="00B35966" w:rsidRDefault="00B35966" w:rsidP="00B35966">
      <w:pPr>
        <w:shd w:val="clear" w:color="auto" w:fill="FFFFFF" w:themeFill="background1"/>
        <w:spacing w:line="360" w:lineRule="auto"/>
        <w:ind w:firstLine="709"/>
        <w:jc w:val="both"/>
        <w:rPr>
          <w:rFonts w:ascii="Verdana" w:hAnsi="Verdana"/>
          <w:sz w:val="21"/>
          <w:szCs w:val="21"/>
        </w:rPr>
      </w:pPr>
      <w:r w:rsidRPr="00B35966">
        <w:rPr>
          <w:rFonts w:ascii="Verdana" w:hAnsi="Verdana"/>
          <w:sz w:val="21"/>
          <w:szCs w:val="21"/>
        </w:rPr>
        <w:t>Verificou-se que, para serviços dessa natureza, a comparação objetiva entre potenciais prestadores exclusivamente por critérios de preço mostra-se inadequada, pois o resultado da execução está diretamente relacionado à forma como o conhecimento técnico é aplicado, à experiência prática do executor e à metodologia empregada, circunstâncias que inviabilizam a competição em bases isonômicas.</w:t>
      </w:r>
    </w:p>
    <w:p w14:paraId="75F54B5A" w14:textId="77777777" w:rsidR="00B35966" w:rsidRPr="00B35966" w:rsidRDefault="00B35966" w:rsidP="00B35966">
      <w:pPr>
        <w:shd w:val="clear" w:color="auto" w:fill="FFFFFF" w:themeFill="background1"/>
        <w:spacing w:line="360" w:lineRule="auto"/>
        <w:ind w:firstLine="709"/>
        <w:jc w:val="both"/>
        <w:rPr>
          <w:rFonts w:ascii="Verdana" w:hAnsi="Verdana"/>
          <w:sz w:val="21"/>
          <w:szCs w:val="21"/>
        </w:rPr>
      </w:pPr>
      <w:r w:rsidRPr="00B35966">
        <w:rPr>
          <w:rFonts w:ascii="Verdana" w:hAnsi="Verdana"/>
          <w:sz w:val="21"/>
          <w:szCs w:val="21"/>
        </w:rPr>
        <w:t>Constatou-se, ainda, que contratações com esse perfil são tratadas pela Administração Pública como hipóteses de inexigibilidade de licitação, quando demonstradas a singularidade do objeto e a notória especialização do prestador, em consonância com o art. 74, inciso III, da Lei nº 14.133/2021 e com o entendimento consolidado dos Tribunais de Contas e da doutrina administrativa.</w:t>
      </w:r>
    </w:p>
    <w:p w14:paraId="5E58BD78" w14:textId="77777777" w:rsidR="00B35966" w:rsidRPr="00B35966" w:rsidRDefault="00B35966" w:rsidP="00B35966">
      <w:pPr>
        <w:shd w:val="clear" w:color="auto" w:fill="FFFFFF" w:themeFill="background1"/>
        <w:spacing w:line="360" w:lineRule="auto"/>
        <w:ind w:firstLine="709"/>
        <w:jc w:val="both"/>
        <w:rPr>
          <w:rFonts w:ascii="Verdana" w:eastAsiaTheme="minorEastAsia" w:hAnsi="Verdana"/>
          <w:sz w:val="21"/>
          <w:szCs w:val="21"/>
        </w:rPr>
      </w:pPr>
    </w:p>
    <w:p w14:paraId="0D699584" w14:textId="77777777" w:rsidR="00B35966" w:rsidRPr="00B35966" w:rsidRDefault="00B35966" w:rsidP="00B35966">
      <w:pPr>
        <w:shd w:val="clear" w:color="auto" w:fill="FFFFFF" w:themeFill="background1"/>
        <w:spacing w:line="360" w:lineRule="auto"/>
        <w:jc w:val="both"/>
        <w:rPr>
          <w:rFonts w:ascii="Verdana" w:hAnsi="Verdana"/>
          <w:b/>
          <w:sz w:val="21"/>
          <w:szCs w:val="21"/>
        </w:rPr>
      </w:pPr>
      <w:r w:rsidRPr="00B35966">
        <w:rPr>
          <w:rFonts w:ascii="Verdana" w:hAnsi="Verdana"/>
          <w:b/>
          <w:sz w:val="21"/>
          <w:szCs w:val="21"/>
        </w:rPr>
        <w:t>IV - Descrição da solução:</w:t>
      </w:r>
    </w:p>
    <w:p w14:paraId="2699922A" w14:textId="77777777" w:rsidR="00B35966" w:rsidRPr="00B35966" w:rsidRDefault="00B35966" w:rsidP="00B35966">
      <w:pPr>
        <w:shd w:val="clear" w:color="auto" w:fill="FFFFFF" w:themeFill="background1"/>
        <w:spacing w:line="360" w:lineRule="auto"/>
        <w:ind w:firstLine="709"/>
        <w:jc w:val="both"/>
        <w:rPr>
          <w:rFonts w:ascii="Verdana" w:hAnsi="Verdana"/>
          <w:sz w:val="21"/>
          <w:szCs w:val="21"/>
        </w:rPr>
      </w:pPr>
      <w:r w:rsidRPr="00B35966">
        <w:rPr>
          <w:rFonts w:ascii="Verdana" w:hAnsi="Verdana"/>
          <w:sz w:val="21"/>
          <w:szCs w:val="21"/>
        </w:rPr>
        <w:t>A solução adotada consiste na contratação de empresa de notória especialização para a prestação de serviços técnicos continuados de assessoria, orientação e capacitação, executados de forma integrada e metodologicamente estruturada, abrangendo, entre outras atividades:</w:t>
      </w:r>
    </w:p>
    <w:p w14:paraId="6C892B59" w14:textId="77777777" w:rsidR="00B35966" w:rsidRPr="00B35966" w:rsidRDefault="00B35966" w:rsidP="00B35966">
      <w:pPr>
        <w:shd w:val="clear" w:color="auto" w:fill="FFFFFF" w:themeFill="background1"/>
        <w:spacing w:line="360" w:lineRule="auto"/>
        <w:ind w:firstLine="709"/>
        <w:jc w:val="both"/>
        <w:rPr>
          <w:rFonts w:ascii="Verdana" w:hAnsi="Verdana"/>
          <w:sz w:val="21"/>
          <w:szCs w:val="21"/>
        </w:rPr>
      </w:pPr>
      <w:r w:rsidRPr="00B35966">
        <w:rPr>
          <w:rFonts w:ascii="Verdana" w:hAnsi="Verdana"/>
          <w:sz w:val="21"/>
          <w:szCs w:val="21"/>
        </w:rPr>
        <w:t>• apoio técnico à elaboração, revisão e instrução administrativa de projetos, planos de trabalho e instrumentos correlatos;</w:t>
      </w:r>
    </w:p>
    <w:p w14:paraId="6550EA38" w14:textId="77777777" w:rsidR="00B35966" w:rsidRPr="00B35966" w:rsidRDefault="00B35966" w:rsidP="00B35966">
      <w:pPr>
        <w:shd w:val="clear" w:color="auto" w:fill="FFFFFF" w:themeFill="background1"/>
        <w:spacing w:line="360" w:lineRule="auto"/>
        <w:ind w:firstLine="709"/>
        <w:jc w:val="both"/>
        <w:rPr>
          <w:rFonts w:ascii="Verdana" w:hAnsi="Verdana"/>
          <w:sz w:val="21"/>
          <w:szCs w:val="21"/>
        </w:rPr>
      </w:pPr>
      <w:r w:rsidRPr="00B35966">
        <w:rPr>
          <w:rFonts w:ascii="Verdana" w:hAnsi="Verdana"/>
          <w:sz w:val="21"/>
          <w:szCs w:val="21"/>
        </w:rPr>
        <w:t>• acompanhamento técnico de trâmites administrativos, fluxos procedimentais e prazos institucionais;</w:t>
      </w:r>
      <w:r w:rsidRPr="00B35966">
        <w:rPr>
          <w:rFonts w:ascii="Verdana" w:hAnsi="Verdana"/>
          <w:sz w:val="21"/>
          <w:szCs w:val="21"/>
        </w:rPr>
        <w:br/>
        <w:t>• orientação quanto à correta utilização e alimentação dos sistemas oficiais vinculados aos programas governamentais e transferências voluntárias;</w:t>
      </w:r>
    </w:p>
    <w:p w14:paraId="6C364DF8" w14:textId="77777777" w:rsidR="00B35966" w:rsidRPr="00B35966" w:rsidRDefault="00B35966" w:rsidP="00B35966">
      <w:pPr>
        <w:shd w:val="clear" w:color="auto" w:fill="FFFFFF" w:themeFill="background1"/>
        <w:spacing w:line="360" w:lineRule="auto"/>
        <w:ind w:firstLine="709"/>
        <w:jc w:val="both"/>
        <w:rPr>
          <w:rFonts w:ascii="Verdana" w:hAnsi="Verdana"/>
          <w:sz w:val="21"/>
          <w:szCs w:val="21"/>
        </w:rPr>
      </w:pPr>
      <w:r w:rsidRPr="00B35966">
        <w:rPr>
          <w:rFonts w:ascii="Verdana" w:hAnsi="Verdana"/>
          <w:sz w:val="21"/>
          <w:szCs w:val="21"/>
        </w:rPr>
        <w:t>• suporte técnico à organização documental e à prestação de contas dos instrumentos sob responsabilidade do Município;</w:t>
      </w:r>
    </w:p>
    <w:p w14:paraId="7A5A04F2" w14:textId="77777777" w:rsidR="00B35966" w:rsidRPr="00B35966" w:rsidRDefault="00B35966" w:rsidP="00B35966">
      <w:pPr>
        <w:shd w:val="clear" w:color="auto" w:fill="FFFFFF" w:themeFill="background1"/>
        <w:spacing w:line="360" w:lineRule="auto"/>
        <w:ind w:firstLine="709"/>
        <w:jc w:val="both"/>
        <w:rPr>
          <w:rFonts w:ascii="Verdana" w:hAnsi="Verdana"/>
          <w:sz w:val="21"/>
          <w:szCs w:val="21"/>
        </w:rPr>
      </w:pPr>
      <w:r w:rsidRPr="00B35966">
        <w:rPr>
          <w:rFonts w:ascii="Verdana" w:hAnsi="Verdana"/>
          <w:sz w:val="21"/>
          <w:szCs w:val="21"/>
        </w:rPr>
        <w:lastRenderedPageBreak/>
        <w:t>• capacitação prática e continuada dos servidores municipais envolvidos nas rotinas administrativas relacionadas ao objeto;</w:t>
      </w:r>
    </w:p>
    <w:p w14:paraId="6A7CC0CE" w14:textId="77777777" w:rsidR="00B35966" w:rsidRPr="00B35966" w:rsidRDefault="00B35966" w:rsidP="00B35966">
      <w:pPr>
        <w:shd w:val="clear" w:color="auto" w:fill="FFFFFF" w:themeFill="background1"/>
        <w:spacing w:line="360" w:lineRule="auto"/>
        <w:ind w:firstLine="709"/>
        <w:jc w:val="both"/>
        <w:rPr>
          <w:rFonts w:ascii="Verdana" w:hAnsi="Verdana"/>
          <w:sz w:val="21"/>
          <w:szCs w:val="21"/>
        </w:rPr>
      </w:pPr>
      <w:r w:rsidRPr="00B35966">
        <w:rPr>
          <w:rFonts w:ascii="Verdana" w:hAnsi="Verdana"/>
          <w:sz w:val="21"/>
          <w:szCs w:val="21"/>
        </w:rPr>
        <w:t>• elaboração e emissão de relatórios técnicos de acompanhamento das atividades desenvolvidas.</w:t>
      </w:r>
    </w:p>
    <w:p w14:paraId="4EFD99A5" w14:textId="77777777" w:rsidR="00B35966" w:rsidRPr="00B35966" w:rsidRDefault="00B35966" w:rsidP="00B35966">
      <w:pPr>
        <w:shd w:val="clear" w:color="auto" w:fill="FFFFFF" w:themeFill="background1"/>
        <w:spacing w:line="360" w:lineRule="auto"/>
        <w:ind w:firstLine="709"/>
        <w:jc w:val="both"/>
        <w:rPr>
          <w:rFonts w:ascii="Verdana" w:hAnsi="Verdana"/>
          <w:sz w:val="21"/>
          <w:szCs w:val="21"/>
        </w:rPr>
      </w:pPr>
    </w:p>
    <w:p w14:paraId="71FC1D9D" w14:textId="77777777" w:rsidR="00B35966" w:rsidRPr="00B35966" w:rsidRDefault="00B35966" w:rsidP="00B35966">
      <w:pPr>
        <w:shd w:val="clear" w:color="auto" w:fill="FFFFFF" w:themeFill="background1"/>
        <w:spacing w:line="360" w:lineRule="auto"/>
        <w:ind w:firstLine="709"/>
        <w:jc w:val="both"/>
        <w:rPr>
          <w:rFonts w:ascii="Verdana" w:hAnsi="Verdana"/>
          <w:sz w:val="21"/>
          <w:szCs w:val="21"/>
        </w:rPr>
      </w:pPr>
      <w:r w:rsidRPr="00B35966">
        <w:rPr>
          <w:rFonts w:ascii="Verdana" w:hAnsi="Verdana"/>
          <w:sz w:val="21"/>
          <w:szCs w:val="21"/>
        </w:rPr>
        <w:t>A atuação da empresa contratada terá caráter estritamente orientativo, formativo e de apoio técnico, não substituindo, delegando ou assumindo atribuições legais dos servidores municipais, que permanecem integralmente responsáveis pelos atos administrativos praticados.</w:t>
      </w:r>
    </w:p>
    <w:p w14:paraId="70090598" w14:textId="77777777" w:rsidR="00B35966" w:rsidRPr="00B35966" w:rsidRDefault="00B35966" w:rsidP="00B35966">
      <w:pPr>
        <w:shd w:val="clear" w:color="auto" w:fill="FFFFFF" w:themeFill="background1"/>
        <w:spacing w:line="360" w:lineRule="auto"/>
        <w:ind w:firstLine="709"/>
        <w:jc w:val="both"/>
        <w:rPr>
          <w:rFonts w:ascii="Verdana" w:eastAsiaTheme="minorEastAsia" w:hAnsi="Verdana"/>
          <w:sz w:val="21"/>
          <w:szCs w:val="21"/>
        </w:rPr>
      </w:pPr>
    </w:p>
    <w:p w14:paraId="25289846" w14:textId="77777777" w:rsidR="00B35966" w:rsidRPr="00B35966" w:rsidRDefault="00B35966" w:rsidP="00B35966">
      <w:pPr>
        <w:spacing w:line="360" w:lineRule="auto"/>
        <w:jc w:val="both"/>
        <w:rPr>
          <w:rFonts w:ascii="Verdana" w:hAnsi="Verdana"/>
          <w:b/>
          <w:sz w:val="21"/>
          <w:szCs w:val="21"/>
        </w:rPr>
      </w:pPr>
      <w:r w:rsidRPr="00B35966">
        <w:rPr>
          <w:rFonts w:ascii="Verdana" w:hAnsi="Verdana"/>
          <w:b/>
          <w:sz w:val="21"/>
          <w:szCs w:val="21"/>
        </w:rPr>
        <w:t>V - Estimativa das quantidades a serem contratadas:</w:t>
      </w:r>
    </w:p>
    <w:p w14:paraId="2166793E" w14:textId="77777777" w:rsidR="00B35966" w:rsidRPr="00B35966" w:rsidRDefault="00B35966" w:rsidP="00B35966">
      <w:pPr>
        <w:shd w:val="clear" w:color="auto" w:fill="FFFFFF" w:themeFill="background1"/>
        <w:spacing w:line="360" w:lineRule="auto"/>
        <w:ind w:firstLine="709"/>
        <w:jc w:val="both"/>
        <w:rPr>
          <w:rFonts w:ascii="Verdana" w:hAnsi="Verdana"/>
          <w:sz w:val="21"/>
          <w:szCs w:val="21"/>
        </w:rPr>
      </w:pPr>
      <w:r w:rsidRPr="00B35966">
        <w:rPr>
          <w:rFonts w:ascii="Verdana" w:hAnsi="Verdana"/>
          <w:sz w:val="21"/>
          <w:szCs w:val="21"/>
        </w:rPr>
        <w:t>Considerando a natureza continuada do objeto, a estimativa das quantidades está vinculada ao período de vigência contratual, e não à mensuração por unidades isoladas de serviço.</w:t>
      </w:r>
    </w:p>
    <w:tbl>
      <w:tblPr>
        <w:tblStyle w:val="Tabelacomgrade"/>
        <w:tblW w:w="0" w:type="auto"/>
        <w:tblLook w:val="04A0" w:firstRow="1" w:lastRow="0" w:firstColumn="1" w:lastColumn="0" w:noHBand="0" w:noVBand="1"/>
      </w:tblPr>
      <w:tblGrid>
        <w:gridCol w:w="788"/>
        <w:gridCol w:w="6083"/>
        <w:gridCol w:w="1575"/>
        <w:gridCol w:w="1182"/>
      </w:tblGrid>
      <w:tr w:rsidR="00B35966" w:rsidRPr="00B35966" w14:paraId="4940D748" w14:textId="77777777" w:rsidTr="00B35966">
        <w:tc>
          <w:tcPr>
            <w:tcW w:w="0" w:type="auto"/>
            <w:tcBorders>
              <w:top w:val="single" w:sz="4" w:space="0" w:color="auto"/>
              <w:left w:val="single" w:sz="4" w:space="0" w:color="auto"/>
              <w:bottom w:val="single" w:sz="4" w:space="0" w:color="auto"/>
              <w:right w:val="single" w:sz="4" w:space="0" w:color="auto"/>
            </w:tcBorders>
            <w:hideMark/>
          </w:tcPr>
          <w:p w14:paraId="734601C2" w14:textId="77777777" w:rsidR="00B35966" w:rsidRPr="00B35966" w:rsidRDefault="00B35966">
            <w:pPr>
              <w:shd w:val="clear" w:color="auto" w:fill="FFFFFF" w:themeFill="background1"/>
              <w:spacing w:line="360" w:lineRule="auto"/>
              <w:jc w:val="both"/>
              <w:rPr>
                <w:rFonts w:ascii="Verdana" w:hAnsi="Verdana" w:cs="Times New Roman"/>
                <w:b/>
                <w:bCs/>
                <w:sz w:val="21"/>
                <w:szCs w:val="21"/>
              </w:rPr>
            </w:pPr>
            <w:r w:rsidRPr="00B35966">
              <w:rPr>
                <w:rFonts w:ascii="Verdana" w:hAnsi="Verdana" w:cs="Times New Roman"/>
                <w:b/>
                <w:bCs/>
                <w:sz w:val="21"/>
                <w:szCs w:val="21"/>
              </w:rPr>
              <w:t>Item</w:t>
            </w:r>
          </w:p>
        </w:tc>
        <w:tc>
          <w:tcPr>
            <w:tcW w:w="0" w:type="auto"/>
            <w:tcBorders>
              <w:top w:val="single" w:sz="4" w:space="0" w:color="auto"/>
              <w:left w:val="single" w:sz="4" w:space="0" w:color="auto"/>
              <w:bottom w:val="single" w:sz="4" w:space="0" w:color="auto"/>
              <w:right w:val="single" w:sz="4" w:space="0" w:color="auto"/>
            </w:tcBorders>
            <w:hideMark/>
          </w:tcPr>
          <w:p w14:paraId="5FBE5F31" w14:textId="77777777" w:rsidR="00B35966" w:rsidRPr="00B35966" w:rsidRDefault="00B35966">
            <w:pPr>
              <w:shd w:val="clear" w:color="auto" w:fill="FFFFFF" w:themeFill="background1"/>
              <w:spacing w:line="360" w:lineRule="auto"/>
              <w:jc w:val="both"/>
              <w:rPr>
                <w:rFonts w:ascii="Verdana" w:hAnsi="Verdana" w:cs="Times New Roman"/>
                <w:b/>
                <w:bCs/>
                <w:sz w:val="21"/>
                <w:szCs w:val="21"/>
              </w:rPr>
            </w:pPr>
            <w:r w:rsidRPr="00B35966">
              <w:rPr>
                <w:rFonts w:ascii="Verdana" w:hAnsi="Verdana" w:cs="Times New Roman"/>
                <w:b/>
                <w:bCs/>
                <w:sz w:val="21"/>
                <w:szCs w:val="21"/>
              </w:rPr>
              <w:t>Descrição do serviço</w:t>
            </w:r>
          </w:p>
        </w:tc>
        <w:tc>
          <w:tcPr>
            <w:tcW w:w="0" w:type="auto"/>
            <w:tcBorders>
              <w:top w:val="single" w:sz="4" w:space="0" w:color="auto"/>
              <w:left w:val="single" w:sz="4" w:space="0" w:color="auto"/>
              <w:bottom w:val="single" w:sz="4" w:space="0" w:color="auto"/>
              <w:right w:val="single" w:sz="4" w:space="0" w:color="auto"/>
            </w:tcBorders>
            <w:hideMark/>
          </w:tcPr>
          <w:p w14:paraId="2556D469" w14:textId="77777777" w:rsidR="00B35966" w:rsidRPr="00B35966" w:rsidRDefault="00B35966">
            <w:pPr>
              <w:shd w:val="clear" w:color="auto" w:fill="FFFFFF" w:themeFill="background1"/>
              <w:spacing w:line="360" w:lineRule="auto"/>
              <w:jc w:val="both"/>
              <w:rPr>
                <w:rFonts w:ascii="Verdana" w:hAnsi="Verdana" w:cs="Times New Roman"/>
                <w:b/>
                <w:bCs/>
                <w:sz w:val="21"/>
                <w:szCs w:val="21"/>
              </w:rPr>
            </w:pPr>
            <w:r w:rsidRPr="00B35966">
              <w:rPr>
                <w:rFonts w:ascii="Verdana" w:hAnsi="Verdana" w:cs="Times New Roman"/>
                <w:b/>
                <w:bCs/>
                <w:sz w:val="21"/>
                <w:szCs w:val="21"/>
              </w:rPr>
              <w:t>Quantidade</w:t>
            </w:r>
          </w:p>
        </w:tc>
        <w:tc>
          <w:tcPr>
            <w:tcW w:w="0" w:type="auto"/>
            <w:tcBorders>
              <w:top w:val="single" w:sz="4" w:space="0" w:color="auto"/>
              <w:left w:val="single" w:sz="4" w:space="0" w:color="auto"/>
              <w:bottom w:val="single" w:sz="4" w:space="0" w:color="auto"/>
              <w:right w:val="single" w:sz="4" w:space="0" w:color="auto"/>
            </w:tcBorders>
            <w:hideMark/>
          </w:tcPr>
          <w:p w14:paraId="0F1F926B" w14:textId="77777777" w:rsidR="00B35966" w:rsidRPr="00B35966" w:rsidRDefault="00B35966">
            <w:pPr>
              <w:shd w:val="clear" w:color="auto" w:fill="FFFFFF" w:themeFill="background1"/>
              <w:spacing w:line="360" w:lineRule="auto"/>
              <w:jc w:val="both"/>
              <w:rPr>
                <w:rFonts w:ascii="Verdana" w:hAnsi="Verdana" w:cs="Times New Roman"/>
                <w:b/>
                <w:bCs/>
                <w:sz w:val="21"/>
                <w:szCs w:val="21"/>
              </w:rPr>
            </w:pPr>
            <w:r w:rsidRPr="00B35966">
              <w:rPr>
                <w:rFonts w:ascii="Verdana" w:hAnsi="Verdana" w:cs="Times New Roman"/>
                <w:b/>
                <w:bCs/>
                <w:sz w:val="21"/>
                <w:szCs w:val="21"/>
              </w:rPr>
              <w:t>Unidade</w:t>
            </w:r>
          </w:p>
        </w:tc>
      </w:tr>
      <w:tr w:rsidR="00B35966" w:rsidRPr="00B35966" w14:paraId="13C20255" w14:textId="77777777" w:rsidTr="00B35966">
        <w:tc>
          <w:tcPr>
            <w:tcW w:w="0" w:type="auto"/>
            <w:tcBorders>
              <w:top w:val="single" w:sz="4" w:space="0" w:color="auto"/>
              <w:left w:val="single" w:sz="4" w:space="0" w:color="auto"/>
              <w:bottom w:val="single" w:sz="4" w:space="0" w:color="auto"/>
              <w:right w:val="single" w:sz="4" w:space="0" w:color="auto"/>
            </w:tcBorders>
            <w:hideMark/>
          </w:tcPr>
          <w:p w14:paraId="578FB8C6" w14:textId="77777777" w:rsidR="00B35966" w:rsidRPr="00B35966" w:rsidRDefault="00B35966">
            <w:pPr>
              <w:shd w:val="clear" w:color="auto" w:fill="FFFFFF" w:themeFill="background1"/>
              <w:spacing w:line="360" w:lineRule="auto"/>
              <w:jc w:val="both"/>
              <w:rPr>
                <w:rFonts w:ascii="Verdana" w:hAnsi="Verdana" w:cs="Times New Roman"/>
                <w:sz w:val="21"/>
                <w:szCs w:val="21"/>
              </w:rPr>
            </w:pPr>
            <w:r w:rsidRPr="00B35966">
              <w:rPr>
                <w:rFonts w:ascii="Verdana" w:hAnsi="Verdana" w:cs="Times New Roman"/>
                <w:sz w:val="21"/>
                <w:szCs w:val="21"/>
              </w:rPr>
              <w:t>01</w:t>
            </w:r>
          </w:p>
        </w:tc>
        <w:tc>
          <w:tcPr>
            <w:tcW w:w="0" w:type="auto"/>
            <w:tcBorders>
              <w:top w:val="single" w:sz="4" w:space="0" w:color="auto"/>
              <w:left w:val="single" w:sz="4" w:space="0" w:color="auto"/>
              <w:bottom w:val="single" w:sz="4" w:space="0" w:color="auto"/>
              <w:right w:val="single" w:sz="4" w:space="0" w:color="auto"/>
            </w:tcBorders>
            <w:hideMark/>
          </w:tcPr>
          <w:p w14:paraId="3FB0790B" w14:textId="77777777" w:rsidR="00B35966" w:rsidRPr="00B35966" w:rsidRDefault="00B35966">
            <w:pPr>
              <w:shd w:val="clear" w:color="auto" w:fill="FFFFFF" w:themeFill="background1"/>
              <w:spacing w:line="360" w:lineRule="auto"/>
              <w:jc w:val="both"/>
              <w:rPr>
                <w:rFonts w:ascii="Verdana" w:hAnsi="Verdana" w:cs="Times New Roman"/>
                <w:sz w:val="21"/>
                <w:szCs w:val="21"/>
              </w:rPr>
            </w:pPr>
            <w:r w:rsidRPr="00B35966">
              <w:rPr>
                <w:rFonts w:ascii="Verdana" w:hAnsi="Verdana" w:cs="Times New Roman"/>
                <w:sz w:val="21"/>
                <w:szCs w:val="21"/>
              </w:rPr>
              <w:t>Contratação de empresa especializada para prestação de serviços técnicos continuados de assessoria e apoio à captação de recursos e à gestão de transferências voluntárias, abrangendo a orientação técnica, acompanhamento, monitoramento, capacitação e suporte operacional às áreas da Administração Municipal, desde a estruturação das propostas até a prestação de contas, observadas as normativas federais vigentes.</w:t>
            </w:r>
          </w:p>
        </w:tc>
        <w:tc>
          <w:tcPr>
            <w:tcW w:w="0" w:type="auto"/>
            <w:tcBorders>
              <w:top w:val="single" w:sz="4" w:space="0" w:color="auto"/>
              <w:left w:val="single" w:sz="4" w:space="0" w:color="auto"/>
              <w:bottom w:val="single" w:sz="4" w:space="0" w:color="auto"/>
              <w:right w:val="single" w:sz="4" w:space="0" w:color="auto"/>
            </w:tcBorders>
            <w:hideMark/>
          </w:tcPr>
          <w:p w14:paraId="70207129" w14:textId="77777777" w:rsidR="00B35966" w:rsidRPr="00B35966" w:rsidRDefault="00B35966">
            <w:pPr>
              <w:shd w:val="clear" w:color="auto" w:fill="FFFFFF" w:themeFill="background1"/>
              <w:spacing w:line="360" w:lineRule="auto"/>
              <w:jc w:val="both"/>
              <w:rPr>
                <w:rFonts w:ascii="Verdana" w:hAnsi="Verdana" w:cs="Times New Roman"/>
                <w:sz w:val="21"/>
                <w:szCs w:val="21"/>
              </w:rPr>
            </w:pPr>
            <w:r w:rsidRPr="00B35966">
              <w:rPr>
                <w:rFonts w:ascii="Verdana" w:hAnsi="Verdana" w:cs="Times New Roman"/>
                <w:sz w:val="21"/>
                <w:szCs w:val="21"/>
              </w:rPr>
              <w:t>12</w:t>
            </w:r>
          </w:p>
        </w:tc>
        <w:tc>
          <w:tcPr>
            <w:tcW w:w="0" w:type="auto"/>
            <w:tcBorders>
              <w:top w:val="single" w:sz="4" w:space="0" w:color="auto"/>
              <w:left w:val="single" w:sz="4" w:space="0" w:color="auto"/>
              <w:bottom w:val="single" w:sz="4" w:space="0" w:color="auto"/>
              <w:right w:val="single" w:sz="4" w:space="0" w:color="auto"/>
            </w:tcBorders>
            <w:hideMark/>
          </w:tcPr>
          <w:p w14:paraId="27A22DC1" w14:textId="77777777" w:rsidR="00B35966" w:rsidRPr="00B35966" w:rsidRDefault="00B35966">
            <w:pPr>
              <w:shd w:val="clear" w:color="auto" w:fill="FFFFFF" w:themeFill="background1"/>
              <w:spacing w:line="360" w:lineRule="auto"/>
              <w:jc w:val="both"/>
              <w:rPr>
                <w:rFonts w:ascii="Verdana" w:hAnsi="Verdana" w:cs="Times New Roman"/>
                <w:sz w:val="21"/>
                <w:szCs w:val="21"/>
              </w:rPr>
            </w:pPr>
            <w:r w:rsidRPr="00B35966">
              <w:rPr>
                <w:rFonts w:ascii="Verdana" w:hAnsi="Verdana" w:cs="Times New Roman"/>
                <w:sz w:val="21"/>
                <w:szCs w:val="21"/>
              </w:rPr>
              <w:t>meses</w:t>
            </w:r>
          </w:p>
        </w:tc>
      </w:tr>
    </w:tbl>
    <w:p w14:paraId="14E039B8" w14:textId="77777777" w:rsidR="00B35966" w:rsidRPr="00B35966" w:rsidRDefault="00B35966" w:rsidP="00B35966">
      <w:pPr>
        <w:shd w:val="clear" w:color="auto" w:fill="FFFFFF" w:themeFill="background1"/>
        <w:spacing w:line="360" w:lineRule="auto"/>
        <w:ind w:firstLine="709"/>
        <w:jc w:val="both"/>
        <w:rPr>
          <w:rFonts w:ascii="Verdana" w:hAnsi="Verdana"/>
          <w:sz w:val="21"/>
          <w:szCs w:val="21"/>
        </w:rPr>
      </w:pPr>
    </w:p>
    <w:p w14:paraId="7912FC37" w14:textId="77777777" w:rsidR="00B35966" w:rsidRPr="00B35966" w:rsidRDefault="00B35966" w:rsidP="00B35966">
      <w:pPr>
        <w:shd w:val="clear" w:color="auto" w:fill="FFFFFF" w:themeFill="background1"/>
        <w:spacing w:line="360" w:lineRule="auto"/>
        <w:jc w:val="both"/>
        <w:rPr>
          <w:rFonts w:ascii="Verdana" w:hAnsi="Verdana"/>
          <w:b/>
          <w:sz w:val="21"/>
          <w:szCs w:val="21"/>
        </w:rPr>
      </w:pPr>
      <w:r w:rsidRPr="00B35966">
        <w:rPr>
          <w:rFonts w:ascii="Verdana" w:hAnsi="Verdana"/>
          <w:b/>
          <w:sz w:val="21"/>
          <w:szCs w:val="21"/>
        </w:rPr>
        <w:t>VI - Estimativa do valor da contratação:</w:t>
      </w:r>
    </w:p>
    <w:p w14:paraId="6862C8E8" w14:textId="77777777" w:rsidR="00B35966" w:rsidRPr="00B35966" w:rsidRDefault="00B35966" w:rsidP="00B35966">
      <w:pPr>
        <w:shd w:val="clear" w:color="auto" w:fill="FFFFFF" w:themeFill="background1"/>
        <w:spacing w:line="360" w:lineRule="auto"/>
        <w:ind w:firstLine="709"/>
        <w:jc w:val="both"/>
        <w:rPr>
          <w:rFonts w:ascii="Verdana" w:hAnsi="Verdana"/>
          <w:sz w:val="21"/>
          <w:szCs w:val="21"/>
        </w:rPr>
      </w:pPr>
      <w:r w:rsidRPr="00B35966">
        <w:rPr>
          <w:rFonts w:ascii="Verdana" w:hAnsi="Verdana"/>
          <w:sz w:val="21"/>
          <w:szCs w:val="21"/>
        </w:rPr>
        <w:t>A estimativa do valor foi definida com base em referências de contratações similares realizadas por outros entes públicos, compatíveis com a natureza intelectual do serviço, o regime de acompanhamento continuado e o grau de responsabilidade técnica envolvido.</w:t>
      </w:r>
    </w:p>
    <w:p w14:paraId="30C26119" w14:textId="77777777" w:rsidR="00B35966" w:rsidRPr="00B35966" w:rsidRDefault="00B35966" w:rsidP="00B35966">
      <w:pPr>
        <w:shd w:val="clear" w:color="auto" w:fill="FFFFFF" w:themeFill="background1"/>
        <w:spacing w:line="360" w:lineRule="auto"/>
        <w:ind w:firstLine="709"/>
        <w:jc w:val="both"/>
        <w:rPr>
          <w:rFonts w:ascii="Verdana" w:hAnsi="Verdana"/>
          <w:sz w:val="21"/>
          <w:szCs w:val="21"/>
        </w:rPr>
      </w:pPr>
      <w:r w:rsidRPr="00B35966">
        <w:rPr>
          <w:rFonts w:ascii="Verdana" w:hAnsi="Verdana"/>
          <w:sz w:val="21"/>
          <w:szCs w:val="21"/>
        </w:rPr>
        <w:t>O valor proposto revela-se compatível com o mercado, proporcional à complexidade do objeto e adequado à realidade financeira do Município, não havendo indícios de sobrepreço ou inadequação econômica.</w:t>
      </w:r>
    </w:p>
    <w:p w14:paraId="2C13B661" w14:textId="77777777" w:rsidR="00B35966" w:rsidRPr="00B35966" w:rsidRDefault="00B35966" w:rsidP="00B35966">
      <w:pPr>
        <w:shd w:val="clear" w:color="auto" w:fill="FFFFFF" w:themeFill="background1"/>
        <w:spacing w:line="360" w:lineRule="auto"/>
        <w:ind w:firstLine="709"/>
        <w:jc w:val="both"/>
        <w:rPr>
          <w:rFonts w:ascii="Verdana" w:eastAsiaTheme="minorEastAsia" w:hAnsi="Verdana"/>
          <w:sz w:val="21"/>
          <w:szCs w:val="21"/>
        </w:rPr>
      </w:pPr>
    </w:p>
    <w:p w14:paraId="0B4866DB" w14:textId="77777777" w:rsidR="00B35966" w:rsidRPr="00B35966" w:rsidRDefault="00B35966" w:rsidP="00B35966">
      <w:pPr>
        <w:shd w:val="clear" w:color="auto" w:fill="FFFFFF" w:themeFill="background1"/>
        <w:spacing w:line="360" w:lineRule="auto"/>
        <w:jc w:val="both"/>
        <w:rPr>
          <w:rFonts w:ascii="Verdana" w:hAnsi="Verdana"/>
          <w:b/>
          <w:sz w:val="21"/>
          <w:szCs w:val="21"/>
        </w:rPr>
      </w:pPr>
      <w:r w:rsidRPr="00B35966">
        <w:rPr>
          <w:rFonts w:ascii="Verdana" w:hAnsi="Verdana"/>
          <w:b/>
          <w:sz w:val="21"/>
          <w:szCs w:val="21"/>
        </w:rPr>
        <w:lastRenderedPageBreak/>
        <w:t xml:space="preserve">VII - Justificativas para o parcelamento ou não da solução: </w:t>
      </w:r>
    </w:p>
    <w:p w14:paraId="739E9B33" w14:textId="77777777" w:rsidR="00B35966" w:rsidRPr="00B35966" w:rsidRDefault="00B35966" w:rsidP="00B35966">
      <w:pPr>
        <w:shd w:val="clear" w:color="auto" w:fill="FFFFFF" w:themeFill="background1"/>
        <w:spacing w:line="360" w:lineRule="auto"/>
        <w:ind w:firstLine="709"/>
        <w:jc w:val="both"/>
        <w:rPr>
          <w:rFonts w:ascii="Verdana" w:hAnsi="Verdana"/>
          <w:sz w:val="21"/>
          <w:szCs w:val="21"/>
        </w:rPr>
      </w:pPr>
      <w:r w:rsidRPr="00B35966">
        <w:rPr>
          <w:rFonts w:ascii="Verdana" w:hAnsi="Verdana"/>
          <w:sz w:val="21"/>
          <w:szCs w:val="21"/>
        </w:rPr>
        <w:t>A contratação não será parcelada, uma vez que o objeto exige coordenação técnica única, continuidade metodológica e responsabilidade técnica centralizada, características indispensáveis à adequada execução dos serviços.</w:t>
      </w:r>
    </w:p>
    <w:p w14:paraId="26B4E3D9" w14:textId="77777777" w:rsidR="00B35966" w:rsidRPr="00B35966" w:rsidRDefault="00B35966" w:rsidP="00B35966">
      <w:pPr>
        <w:shd w:val="clear" w:color="auto" w:fill="FFFFFF" w:themeFill="background1"/>
        <w:spacing w:line="360" w:lineRule="auto"/>
        <w:ind w:firstLine="709"/>
        <w:jc w:val="both"/>
        <w:rPr>
          <w:rFonts w:ascii="Verdana" w:hAnsi="Verdana"/>
          <w:sz w:val="21"/>
          <w:szCs w:val="21"/>
        </w:rPr>
      </w:pPr>
      <w:r w:rsidRPr="00B35966">
        <w:rPr>
          <w:rFonts w:ascii="Verdana" w:hAnsi="Verdana"/>
          <w:sz w:val="21"/>
          <w:szCs w:val="21"/>
        </w:rPr>
        <w:t>A fragmentação do objeto em contratações distintas comprometeria a coerência técnica da solução, dificultaria o acompanhamento integrado das atividades, aumentaria riscos administrativos e reduziria a efetividade dos resultados pretendidos, razão pela qual não se mostra técnica nem economicamente viável, nos termos do art. 40 da Lei nº 14.133/2021.</w:t>
      </w:r>
    </w:p>
    <w:p w14:paraId="0495BA1A" w14:textId="77777777" w:rsidR="00B35966" w:rsidRPr="00B35966" w:rsidRDefault="00B35966" w:rsidP="00B35966">
      <w:pPr>
        <w:shd w:val="clear" w:color="auto" w:fill="FFFFFF" w:themeFill="background1"/>
        <w:spacing w:line="360" w:lineRule="auto"/>
        <w:ind w:firstLine="709"/>
        <w:jc w:val="both"/>
        <w:rPr>
          <w:rFonts w:ascii="Verdana" w:hAnsi="Verdana"/>
          <w:sz w:val="21"/>
          <w:szCs w:val="21"/>
        </w:rPr>
      </w:pPr>
      <w:r w:rsidRPr="00B35966">
        <w:rPr>
          <w:rFonts w:ascii="Verdana" w:hAnsi="Verdana"/>
          <w:sz w:val="21"/>
          <w:szCs w:val="21"/>
        </w:rPr>
        <w:t>Dessa forma, a execução por item único revela-se a alternativa mais adequada para assegurar a uniformidade da metodologia aplicada, a segurança administrativa e a eficiência da contratação.</w:t>
      </w:r>
    </w:p>
    <w:p w14:paraId="7F1128BF" w14:textId="77777777" w:rsidR="00B35966" w:rsidRPr="00B35966" w:rsidRDefault="00B35966" w:rsidP="00B35966">
      <w:pPr>
        <w:shd w:val="clear" w:color="auto" w:fill="FFFFFF" w:themeFill="background1"/>
        <w:spacing w:line="360" w:lineRule="auto"/>
        <w:ind w:firstLine="709"/>
        <w:jc w:val="both"/>
        <w:rPr>
          <w:rFonts w:ascii="Verdana" w:hAnsi="Verdana"/>
          <w:sz w:val="21"/>
          <w:szCs w:val="21"/>
        </w:rPr>
      </w:pPr>
    </w:p>
    <w:p w14:paraId="50551528" w14:textId="77777777" w:rsidR="00B35966" w:rsidRPr="00B35966" w:rsidRDefault="00B35966" w:rsidP="00B35966">
      <w:pPr>
        <w:shd w:val="clear" w:color="auto" w:fill="FFFFFF" w:themeFill="background1"/>
        <w:spacing w:line="360" w:lineRule="auto"/>
        <w:jc w:val="both"/>
        <w:rPr>
          <w:rFonts w:ascii="Verdana" w:eastAsiaTheme="minorEastAsia" w:hAnsi="Verdana"/>
          <w:b/>
          <w:sz w:val="21"/>
          <w:szCs w:val="21"/>
        </w:rPr>
      </w:pPr>
      <w:r w:rsidRPr="00B35966">
        <w:rPr>
          <w:rFonts w:ascii="Verdana" w:hAnsi="Verdana"/>
          <w:b/>
          <w:sz w:val="21"/>
          <w:szCs w:val="21"/>
        </w:rPr>
        <w:t>VIII - Contratações correlatas e/ou interdependentes:</w:t>
      </w:r>
    </w:p>
    <w:p w14:paraId="6B197D6A" w14:textId="77777777" w:rsidR="00B35966" w:rsidRPr="00B35966" w:rsidRDefault="00B35966" w:rsidP="00B35966">
      <w:pPr>
        <w:shd w:val="clear" w:color="auto" w:fill="FFFFFF" w:themeFill="background1"/>
        <w:spacing w:line="360" w:lineRule="auto"/>
        <w:ind w:firstLine="709"/>
        <w:jc w:val="both"/>
        <w:rPr>
          <w:rFonts w:ascii="Verdana" w:hAnsi="Verdana"/>
          <w:sz w:val="21"/>
          <w:szCs w:val="21"/>
        </w:rPr>
      </w:pPr>
      <w:r w:rsidRPr="00B35966">
        <w:rPr>
          <w:rFonts w:ascii="Verdana" w:hAnsi="Verdana"/>
          <w:sz w:val="21"/>
          <w:szCs w:val="21"/>
        </w:rPr>
        <w:t>Após análise dos contratos e processos administrativos vigentes no âmbito do Município de Bom Sucesso do Sul/PR, não foram identificadas contratações correlatas ou interdependentes que condicionem, interfiram ou guardem relação de dependência com a execução do objeto desta contratação.</w:t>
      </w:r>
    </w:p>
    <w:p w14:paraId="4BED3C33" w14:textId="77777777" w:rsidR="00B35966" w:rsidRPr="00B35966" w:rsidRDefault="00B35966" w:rsidP="00B35966">
      <w:pPr>
        <w:shd w:val="clear" w:color="auto" w:fill="FFFFFF" w:themeFill="background1"/>
        <w:spacing w:line="360" w:lineRule="auto"/>
        <w:ind w:firstLine="709"/>
        <w:jc w:val="both"/>
        <w:rPr>
          <w:rFonts w:ascii="Verdana" w:hAnsi="Verdana"/>
          <w:sz w:val="21"/>
          <w:szCs w:val="21"/>
        </w:rPr>
      </w:pPr>
      <w:r w:rsidRPr="00B35966">
        <w:rPr>
          <w:rFonts w:ascii="Verdana" w:hAnsi="Verdana"/>
          <w:sz w:val="21"/>
          <w:szCs w:val="21"/>
        </w:rPr>
        <w:t>Trata-se de contratação autônoma, cuja execução não depende da celebração de outros ajustes, nem impacta ou é impactada por contratos administrativos já firmados, podendo ser realizada de forma plena e independente.</w:t>
      </w:r>
    </w:p>
    <w:p w14:paraId="672B518F" w14:textId="77777777" w:rsidR="00B35966" w:rsidRPr="00B35966" w:rsidRDefault="00B35966" w:rsidP="00B35966">
      <w:pPr>
        <w:shd w:val="clear" w:color="auto" w:fill="FFFFFF" w:themeFill="background1"/>
        <w:spacing w:line="360" w:lineRule="auto"/>
        <w:ind w:firstLine="709"/>
        <w:jc w:val="both"/>
        <w:rPr>
          <w:rFonts w:ascii="Verdana" w:eastAsiaTheme="minorEastAsia" w:hAnsi="Verdana"/>
          <w:b/>
          <w:sz w:val="21"/>
          <w:szCs w:val="21"/>
        </w:rPr>
      </w:pPr>
    </w:p>
    <w:p w14:paraId="03E4BD69" w14:textId="77777777" w:rsidR="00B35966" w:rsidRPr="00B35966" w:rsidRDefault="00B35966" w:rsidP="00B35966">
      <w:pPr>
        <w:shd w:val="clear" w:color="auto" w:fill="FFFFFF" w:themeFill="background1"/>
        <w:spacing w:line="360" w:lineRule="auto"/>
        <w:jc w:val="both"/>
        <w:rPr>
          <w:rFonts w:ascii="Verdana" w:hAnsi="Verdana"/>
          <w:b/>
          <w:sz w:val="21"/>
          <w:szCs w:val="21"/>
        </w:rPr>
      </w:pPr>
      <w:r w:rsidRPr="00B35966">
        <w:rPr>
          <w:rFonts w:ascii="Verdana" w:hAnsi="Verdana"/>
          <w:b/>
          <w:sz w:val="21"/>
          <w:szCs w:val="21"/>
        </w:rPr>
        <w:t>IX - Demonstrativo da previsão da contratação no Plano de Contratações Anual:</w:t>
      </w:r>
    </w:p>
    <w:p w14:paraId="79430C2E" w14:textId="77777777" w:rsidR="00B35966" w:rsidRPr="00B35966" w:rsidRDefault="00B35966" w:rsidP="00B35966">
      <w:pPr>
        <w:shd w:val="clear" w:color="auto" w:fill="FFFFFF" w:themeFill="background1"/>
        <w:spacing w:line="360" w:lineRule="auto"/>
        <w:ind w:firstLine="709"/>
        <w:jc w:val="both"/>
        <w:rPr>
          <w:rFonts w:ascii="Verdana" w:hAnsi="Verdana"/>
          <w:noProof/>
          <w:sz w:val="21"/>
          <w:szCs w:val="21"/>
        </w:rPr>
      </w:pPr>
      <w:r w:rsidRPr="00B35966">
        <w:rPr>
          <w:rFonts w:ascii="Verdana" w:hAnsi="Verdana"/>
          <w:noProof/>
          <w:sz w:val="21"/>
          <w:szCs w:val="21"/>
        </w:rPr>
        <w:t>A contratação está alinhada às necessidades administrativas do Município e aos instrumentos de planejamento institucional, sendo compatível com as metas de fortalecimento da gestão pública.</w:t>
      </w:r>
    </w:p>
    <w:p w14:paraId="1C3732E7" w14:textId="77777777" w:rsidR="00B35966" w:rsidRPr="00B35966" w:rsidRDefault="00B35966" w:rsidP="00B35966">
      <w:pPr>
        <w:shd w:val="clear" w:color="auto" w:fill="FFFFFF" w:themeFill="background1"/>
        <w:spacing w:line="360" w:lineRule="auto"/>
        <w:ind w:firstLine="709"/>
        <w:jc w:val="both"/>
        <w:rPr>
          <w:rFonts w:ascii="Verdana" w:hAnsi="Verdana"/>
          <w:sz w:val="21"/>
          <w:szCs w:val="21"/>
        </w:rPr>
      </w:pPr>
    </w:p>
    <w:p w14:paraId="0CA89ADE" w14:textId="77777777" w:rsidR="00B35966" w:rsidRPr="00B35966" w:rsidRDefault="00B35966" w:rsidP="00B35966">
      <w:pPr>
        <w:shd w:val="clear" w:color="auto" w:fill="FFFFFF" w:themeFill="background1"/>
        <w:spacing w:line="360" w:lineRule="auto"/>
        <w:jc w:val="both"/>
        <w:rPr>
          <w:rFonts w:ascii="Verdana" w:hAnsi="Verdana"/>
          <w:b/>
          <w:sz w:val="21"/>
          <w:szCs w:val="21"/>
        </w:rPr>
      </w:pPr>
      <w:r w:rsidRPr="00B35966">
        <w:rPr>
          <w:rFonts w:ascii="Verdana" w:hAnsi="Verdana"/>
          <w:b/>
          <w:sz w:val="21"/>
          <w:szCs w:val="21"/>
        </w:rPr>
        <w:t>X - Demonstrativo dos resultados pretendidos:</w:t>
      </w:r>
    </w:p>
    <w:p w14:paraId="3B49ED0C" w14:textId="77777777" w:rsidR="00B35966" w:rsidRPr="00B35966" w:rsidRDefault="00B35966" w:rsidP="00B35966">
      <w:pPr>
        <w:shd w:val="clear" w:color="auto" w:fill="FFFFFF" w:themeFill="background1"/>
        <w:spacing w:line="360" w:lineRule="auto"/>
        <w:ind w:firstLine="709"/>
        <w:jc w:val="both"/>
        <w:rPr>
          <w:rFonts w:ascii="Verdana" w:hAnsi="Verdana"/>
          <w:sz w:val="21"/>
          <w:szCs w:val="21"/>
        </w:rPr>
      </w:pPr>
      <w:r w:rsidRPr="00B35966">
        <w:rPr>
          <w:rFonts w:ascii="Verdana" w:hAnsi="Verdana"/>
          <w:sz w:val="21"/>
          <w:szCs w:val="21"/>
        </w:rPr>
        <w:t>Com a presente contratação, pretende-se promover o aperfeiçoamento da organização administrativa e da capacidade técnica do Município de Bom Sucesso do Sul/PR, por meio da disponibilização de assessoria, orientação e capacitação continuada aos servidores municipais envolvidos na elaboração, acompanhamento e prestação de contas de projetos e instrumentos institucionais.</w:t>
      </w:r>
    </w:p>
    <w:p w14:paraId="1E17BA41" w14:textId="77777777" w:rsidR="00B35966" w:rsidRPr="00B35966" w:rsidRDefault="00B35966" w:rsidP="00B35966">
      <w:pPr>
        <w:shd w:val="clear" w:color="auto" w:fill="FFFFFF" w:themeFill="background1"/>
        <w:spacing w:line="360" w:lineRule="auto"/>
        <w:ind w:firstLine="709"/>
        <w:jc w:val="both"/>
        <w:rPr>
          <w:rFonts w:ascii="Verdana" w:hAnsi="Verdana"/>
          <w:sz w:val="21"/>
          <w:szCs w:val="21"/>
        </w:rPr>
      </w:pPr>
      <w:r w:rsidRPr="00B35966">
        <w:rPr>
          <w:rFonts w:ascii="Verdana" w:hAnsi="Verdana"/>
          <w:sz w:val="21"/>
          <w:szCs w:val="21"/>
        </w:rPr>
        <w:lastRenderedPageBreak/>
        <w:t>Espera-se, como resultado, a melhoria da qualidade técnica e da regularidade dos processos administrativos, especialmente quanto à correta instrução documental, ao cumprimento de prazos, à utilização adequada dos sistemas oficiais e à observância das normas aplicáveis às transferências voluntárias e programas governamentais.</w:t>
      </w:r>
    </w:p>
    <w:p w14:paraId="0F5121BD" w14:textId="77777777" w:rsidR="00B35966" w:rsidRPr="00B35966" w:rsidRDefault="00B35966" w:rsidP="00B35966">
      <w:pPr>
        <w:shd w:val="clear" w:color="auto" w:fill="FFFFFF" w:themeFill="background1"/>
        <w:spacing w:line="360" w:lineRule="auto"/>
        <w:ind w:firstLine="709"/>
        <w:jc w:val="both"/>
        <w:rPr>
          <w:rFonts w:ascii="Verdana" w:hAnsi="Verdana"/>
          <w:sz w:val="21"/>
          <w:szCs w:val="21"/>
        </w:rPr>
      </w:pPr>
      <w:r w:rsidRPr="00B35966">
        <w:rPr>
          <w:rFonts w:ascii="Verdana" w:hAnsi="Verdana"/>
          <w:sz w:val="21"/>
          <w:szCs w:val="21"/>
        </w:rPr>
        <w:t>Busca-se, ainda, o fortalecimento da autonomia técnica dos servidores municipais, por meio da capacitação prática e do acompanhamento metodológico das rotinas administrativas, possibilitando a internalização do conhecimento técnico e a redução de inconsistências procedimentais ao longo do tempo.</w:t>
      </w:r>
    </w:p>
    <w:p w14:paraId="36880622" w14:textId="77777777" w:rsidR="00B35966" w:rsidRPr="00B35966" w:rsidRDefault="00B35966" w:rsidP="00B35966">
      <w:pPr>
        <w:shd w:val="clear" w:color="auto" w:fill="FFFFFF" w:themeFill="background1"/>
        <w:spacing w:line="360" w:lineRule="auto"/>
        <w:ind w:firstLine="709"/>
        <w:jc w:val="both"/>
        <w:rPr>
          <w:rFonts w:ascii="Verdana" w:hAnsi="Verdana"/>
          <w:sz w:val="21"/>
          <w:szCs w:val="21"/>
        </w:rPr>
      </w:pPr>
      <w:r w:rsidRPr="00B35966">
        <w:rPr>
          <w:rFonts w:ascii="Verdana" w:hAnsi="Verdana"/>
          <w:sz w:val="21"/>
          <w:szCs w:val="21"/>
        </w:rPr>
        <w:t>Outro resultado pretendido consiste na padronização de procedimentos, no aprimoramento do controle interno e na elevação do nível de governança e transparência administrativa, contribuindo para maior segurança jurídica dos atos praticados pela Administração.</w:t>
      </w:r>
    </w:p>
    <w:p w14:paraId="1B602237" w14:textId="77777777" w:rsidR="00B35966" w:rsidRPr="00B35966" w:rsidRDefault="00B35966" w:rsidP="00B35966">
      <w:pPr>
        <w:shd w:val="clear" w:color="auto" w:fill="FFFFFF" w:themeFill="background1"/>
        <w:spacing w:line="360" w:lineRule="auto"/>
        <w:ind w:firstLine="709"/>
        <w:jc w:val="both"/>
        <w:rPr>
          <w:rFonts w:ascii="Verdana" w:hAnsi="Verdana"/>
          <w:sz w:val="21"/>
          <w:szCs w:val="21"/>
        </w:rPr>
      </w:pPr>
      <w:r w:rsidRPr="00B35966">
        <w:rPr>
          <w:rFonts w:ascii="Verdana" w:hAnsi="Verdana"/>
          <w:sz w:val="21"/>
          <w:szCs w:val="21"/>
        </w:rPr>
        <w:t>Por fim, espera-se que a execução contratual resulte na melhoria da eficiência administrativa e da qualidade da gestão pública municipal, refletindo positivamente na prestação dos serviços públicos à população, sem caracterizar promessa de obtenção de recursos ou garantia de resultados externos, em consonância com os princípios da legalidade, eficiência, economicidade e interesse público.</w:t>
      </w:r>
    </w:p>
    <w:p w14:paraId="520D65FB" w14:textId="77777777" w:rsidR="00B35966" w:rsidRPr="00B35966" w:rsidRDefault="00B35966" w:rsidP="00B35966">
      <w:pPr>
        <w:shd w:val="clear" w:color="auto" w:fill="FFFFFF" w:themeFill="background1"/>
        <w:spacing w:line="360" w:lineRule="auto"/>
        <w:ind w:firstLine="709"/>
        <w:jc w:val="both"/>
        <w:rPr>
          <w:rFonts w:ascii="Verdana" w:eastAsiaTheme="minorEastAsia" w:hAnsi="Verdana"/>
          <w:b/>
          <w:sz w:val="21"/>
          <w:szCs w:val="21"/>
        </w:rPr>
      </w:pPr>
    </w:p>
    <w:p w14:paraId="670E2B64" w14:textId="77777777" w:rsidR="00B35966" w:rsidRPr="00B35966" w:rsidRDefault="00B35966" w:rsidP="00B35966">
      <w:pPr>
        <w:shd w:val="clear" w:color="auto" w:fill="FFFFFF" w:themeFill="background1"/>
        <w:spacing w:line="360" w:lineRule="auto"/>
        <w:jc w:val="both"/>
        <w:rPr>
          <w:rFonts w:ascii="Verdana" w:hAnsi="Verdana"/>
          <w:b/>
          <w:sz w:val="21"/>
          <w:szCs w:val="21"/>
        </w:rPr>
      </w:pPr>
      <w:r w:rsidRPr="00B35966">
        <w:rPr>
          <w:rFonts w:ascii="Verdana" w:hAnsi="Verdana"/>
          <w:b/>
          <w:sz w:val="21"/>
          <w:szCs w:val="21"/>
        </w:rPr>
        <w:t>XI - Providências a serem adotadas pela Administração previamente à celebração do contrato:</w:t>
      </w:r>
    </w:p>
    <w:p w14:paraId="25A39A09" w14:textId="77777777" w:rsidR="00B35966" w:rsidRPr="00B35966" w:rsidRDefault="00B35966" w:rsidP="00B35966">
      <w:pPr>
        <w:shd w:val="clear" w:color="auto" w:fill="FFFFFF" w:themeFill="background1"/>
        <w:spacing w:line="360" w:lineRule="auto"/>
        <w:ind w:firstLine="709"/>
        <w:jc w:val="both"/>
        <w:rPr>
          <w:rFonts w:ascii="Verdana" w:hAnsi="Verdana"/>
          <w:sz w:val="21"/>
          <w:szCs w:val="21"/>
        </w:rPr>
      </w:pPr>
      <w:r w:rsidRPr="00B35966">
        <w:rPr>
          <w:rFonts w:ascii="Verdana" w:hAnsi="Verdana"/>
          <w:sz w:val="21"/>
          <w:szCs w:val="21"/>
        </w:rPr>
        <w:t>Antes da formalização do contrato, a Administração Municipal deverá adotar as providências administrativas necessárias para assegurar a regularidade, legalidade e transparência do processo de contratação direta por inexigibilidade de licitação.</w:t>
      </w:r>
    </w:p>
    <w:p w14:paraId="105904AB" w14:textId="77777777" w:rsidR="00B35966" w:rsidRPr="00B35966" w:rsidRDefault="00B35966" w:rsidP="00B35966">
      <w:pPr>
        <w:shd w:val="clear" w:color="auto" w:fill="FFFFFF" w:themeFill="background1"/>
        <w:spacing w:line="360" w:lineRule="auto"/>
        <w:ind w:firstLine="709"/>
        <w:jc w:val="both"/>
        <w:rPr>
          <w:rFonts w:ascii="Verdana" w:hAnsi="Verdana"/>
          <w:sz w:val="21"/>
          <w:szCs w:val="21"/>
        </w:rPr>
      </w:pPr>
      <w:r w:rsidRPr="00B35966">
        <w:rPr>
          <w:rFonts w:ascii="Verdana" w:hAnsi="Verdana"/>
          <w:sz w:val="21"/>
          <w:szCs w:val="21"/>
        </w:rPr>
        <w:t>Compete à Administração confirmar o atendimento aos requisitos legais previstos na Lei Federal nº 14.133/2021, especialmente quanto à caracterização da inviabilidade de competição, devidamente fundamentada neste Estudo Técnico Preliminar, com a demonstração cumulativa da singularidade do objeto, da notória especialização do contratado e da confiança técnica necessária à execução dos serviços, nos termos do art. 74, inciso III.</w:t>
      </w:r>
    </w:p>
    <w:p w14:paraId="4214CCD8" w14:textId="77777777" w:rsidR="00B35966" w:rsidRPr="00B35966" w:rsidRDefault="00B35966" w:rsidP="00B35966">
      <w:pPr>
        <w:shd w:val="clear" w:color="auto" w:fill="FFFFFF" w:themeFill="background1"/>
        <w:spacing w:line="360" w:lineRule="auto"/>
        <w:ind w:firstLine="709"/>
        <w:jc w:val="both"/>
        <w:rPr>
          <w:rFonts w:ascii="Verdana" w:hAnsi="Verdana"/>
          <w:sz w:val="21"/>
          <w:szCs w:val="21"/>
        </w:rPr>
      </w:pPr>
      <w:r w:rsidRPr="00B35966">
        <w:rPr>
          <w:rFonts w:ascii="Verdana" w:hAnsi="Verdana"/>
          <w:sz w:val="21"/>
          <w:szCs w:val="21"/>
        </w:rPr>
        <w:t>Deverão ser adotadas, no mínimo, as seguintes providências:</w:t>
      </w:r>
    </w:p>
    <w:p w14:paraId="33034134" w14:textId="77777777" w:rsidR="00B35966" w:rsidRPr="00B35966" w:rsidRDefault="00B35966" w:rsidP="00B35966">
      <w:pPr>
        <w:shd w:val="clear" w:color="auto" w:fill="FFFFFF" w:themeFill="background1"/>
        <w:spacing w:line="360" w:lineRule="auto"/>
        <w:ind w:firstLine="709"/>
        <w:jc w:val="both"/>
        <w:rPr>
          <w:rFonts w:ascii="Verdana" w:hAnsi="Verdana"/>
          <w:sz w:val="21"/>
          <w:szCs w:val="21"/>
        </w:rPr>
      </w:pPr>
      <w:r w:rsidRPr="00B35966">
        <w:rPr>
          <w:rFonts w:ascii="Verdana" w:hAnsi="Verdana"/>
          <w:sz w:val="21"/>
          <w:szCs w:val="21"/>
        </w:rPr>
        <w:t>• verificação da compatibilidade da contratação com o planejamento orçamentário vigente, mediante emissão de declaração de disponibilidade orçamentária e financeira, em observância à Lei de Responsabilidade Fiscal e aos instrumentos PPA, LDO e LOA;</w:t>
      </w:r>
    </w:p>
    <w:p w14:paraId="1EE92D5A" w14:textId="77777777" w:rsidR="00B35966" w:rsidRPr="00B35966" w:rsidRDefault="00B35966" w:rsidP="00B35966">
      <w:pPr>
        <w:shd w:val="clear" w:color="auto" w:fill="FFFFFF" w:themeFill="background1"/>
        <w:spacing w:line="360" w:lineRule="auto"/>
        <w:ind w:firstLine="709"/>
        <w:jc w:val="both"/>
        <w:rPr>
          <w:rFonts w:ascii="Verdana" w:hAnsi="Verdana"/>
          <w:sz w:val="21"/>
          <w:szCs w:val="21"/>
        </w:rPr>
      </w:pPr>
      <w:r w:rsidRPr="00B35966">
        <w:rPr>
          <w:rFonts w:ascii="Verdana" w:hAnsi="Verdana"/>
          <w:sz w:val="21"/>
          <w:szCs w:val="21"/>
        </w:rPr>
        <w:lastRenderedPageBreak/>
        <w:t>• comprovação da regularidade fiscal, trabalhista e técnica da empresa a ser contratada, mediante apresentação das certidões e documentos exigidos pela legislação aplicável;</w:t>
      </w:r>
    </w:p>
    <w:p w14:paraId="727D97C8" w14:textId="77777777" w:rsidR="00B35966" w:rsidRPr="00B35966" w:rsidRDefault="00B35966" w:rsidP="00B35966">
      <w:pPr>
        <w:shd w:val="clear" w:color="auto" w:fill="FFFFFF" w:themeFill="background1"/>
        <w:spacing w:line="360" w:lineRule="auto"/>
        <w:ind w:firstLine="709"/>
        <w:jc w:val="both"/>
        <w:rPr>
          <w:rFonts w:ascii="Verdana" w:hAnsi="Verdana"/>
          <w:sz w:val="21"/>
          <w:szCs w:val="21"/>
        </w:rPr>
      </w:pPr>
      <w:r w:rsidRPr="00B35966">
        <w:rPr>
          <w:rFonts w:ascii="Verdana" w:hAnsi="Verdana"/>
          <w:sz w:val="21"/>
          <w:szCs w:val="21"/>
        </w:rPr>
        <w:t>• formalização da designação do gestor e do fiscal do contrato, nos termos do art. 117 da Lei nº 14.133/2021, preferencialmente servidores efetivos com conhecimento técnico compatível com o objeto;</w:t>
      </w:r>
    </w:p>
    <w:p w14:paraId="5734B570" w14:textId="77777777" w:rsidR="00B35966" w:rsidRPr="00B35966" w:rsidRDefault="00B35966" w:rsidP="00B35966">
      <w:pPr>
        <w:shd w:val="clear" w:color="auto" w:fill="FFFFFF" w:themeFill="background1"/>
        <w:spacing w:line="360" w:lineRule="auto"/>
        <w:ind w:firstLine="709"/>
        <w:jc w:val="both"/>
        <w:rPr>
          <w:rFonts w:ascii="Verdana" w:hAnsi="Verdana"/>
          <w:sz w:val="21"/>
          <w:szCs w:val="21"/>
        </w:rPr>
      </w:pPr>
      <w:r w:rsidRPr="00B35966">
        <w:rPr>
          <w:rFonts w:ascii="Verdana" w:hAnsi="Verdana"/>
          <w:sz w:val="21"/>
          <w:szCs w:val="21"/>
        </w:rPr>
        <w:t>• elaboração do instrumento contratual ou equivalente, com definição clara das obrigações, prazos e condições de execução;</w:t>
      </w:r>
    </w:p>
    <w:p w14:paraId="1C21652D" w14:textId="77777777" w:rsidR="00B35966" w:rsidRPr="00B35966" w:rsidRDefault="00B35966" w:rsidP="00B35966">
      <w:pPr>
        <w:shd w:val="clear" w:color="auto" w:fill="FFFFFF" w:themeFill="background1"/>
        <w:spacing w:line="360" w:lineRule="auto"/>
        <w:ind w:firstLine="709"/>
        <w:jc w:val="both"/>
        <w:rPr>
          <w:rFonts w:ascii="Verdana" w:hAnsi="Verdana"/>
          <w:sz w:val="21"/>
          <w:szCs w:val="21"/>
        </w:rPr>
      </w:pPr>
      <w:r w:rsidRPr="00B35966">
        <w:rPr>
          <w:rFonts w:ascii="Verdana" w:hAnsi="Verdana"/>
          <w:sz w:val="21"/>
          <w:szCs w:val="21"/>
        </w:rPr>
        <w:t>• submissão do processo à apreciação jurídica, quando exigido pela legislação municipal ou pelas normas internas do Município;</w:t>
      </w:r>
    </w:p>
    <w:p w14:paraId="483340DF" w14:textId="77777777" w:rsidR="00B35966" w:rsidRPr="00B35966" w:rsidRDefault="00B35966" w:rsidP="00B35966">
      <w:pPr>
        <w:shd w:val="clear" w:color="auto" w:fill="FFFFFF" w:themeFill="background1"/>
        <w:spacing w:line="360" w:lineRule="auto"/>
        <w:ind w:firstLine="709"/>
        <w:jc w:val="both"/>
        <w:rPr>
          <w:rFonts w:ascii="Verdana" w:hAnsi="Verdana"/>
          <w:sz w:val="21"/>
          <w:szCs w:val="21"/>
        </w:rPr>
      </w:pPr>
      <w:r w:rsidRPr="00B35966">
        <w:rPr>
          <w:rFonts w:ascii="Verdana" w:hAnsi="Verdana"/>
          <w:sz w:val="21"/>
          <w:szCs w:val="21"/>
        </w:rPr>
        <w:t>• publicação dos atos exigidos no Portal Nacional de Contratações Públicas (PNCP), incluindo o extrato do contrato, a justificativa da inexigibilidade e os documentos obrigatórios, em observância ao princípio da publicidade e ao art. 94 da Lei nº 14.133/2021.</w:t>
      </w:r>
    </w:p>
    <w:p w14:paraId="714C7676" w14:textId="77777777" w:rsidR="00B35966" w:rsidRPr="00B35966" w:rsidRDefault="00B35966" w:rsidP="00B35966">
      <w:pPr>
        <w:shd w:val="clear" w:color="auto" w:fill="FFFFFF" w:themeFill="background1"/>
        <w:spacing w:line="360" w:lineRule="auto"/>
        <w:ind w:firstLine="709"/>
        <w:jc w:val="both"/>
        <w:rPr>
          <w:rFonts w:ascii="Verdana" w:eastAsiaTheme="minorEastAsia" w:hAnsi="Verdana"/>
          <w:sz w:val="21"/>
          <w:szCs w:val="21"/>
        </w:rPr>
      </w:pPr>
    </w:p>
    <w:p w14:paraId="1D6989B3" w14:textId="77777777" w:rsidR="00B35966" w:rsidRPr="00B35966" w:rsidRDefault="00B35966" w:rsidP="00B35966">
      <w:pPr>
        <w:shd w:val="clear" w:color="auto" w:fill="FFFFFF" w:themeFill="background1"/>
        <w:spacing w:line="360" w:lineRule="auto"/>
        <w:jc w:val="both"/>
        <w:rPr>
          <w:rFonts w:ascii="Verdana" w:hAnsi="Verdana"/>
          <w:b/>
          <w:sz w:val="21"/>
          <w:szCs w:val="21"/>
        </w:rPr>
      </w:pPr>
      <w:r w:rsidRPr="00B35966">
        <w:rPr>
          <w:rFonts w:ascii="Verdana" w:hAnsi="Verdana"/>
          <w:b/>
          <w:sz w:val="21"/>
          <w:szCs w:val="21"/>
        </w:rPr>
        <w:t xml:space="preserve">XII - Descrição de possíveis impactos ambientais e respectivas medidas mitigadoras: </w:t>
      </w:r>
    </w:p>
    <w:p w14:paraId="74D4632D" w14:textId="77777777" w:rsidR="00B35966" w:rsidRPr="00B35966" w:rsidRDefault="00B35966" w:rsidP="00B35966">
      <w:pPr>
        <w:shd w:val="clear" w:color="auto" w:fill="FFFFFF" w:themeFill="background1"/>
        <w:spacing w:line="360" w:lineRule="auto"/>
        <w:ind w:firstLine="709"/>
        <w:jc w:val="both"/>
        <w:rPr>
          <w:rFonts w:ascii="Verdana" w:hAnsi="Verdana"/>
          <w:sz w:val="21"/>
          <w:szCs w:val="21"/>
        </w:rPr>
      </w:pPr>
      <w:r w:rsidRPr="00B35966">
        <w:rPr>
          <w:rFonts w:ascii="Verdana" w:hAnsi="Verdana"/>
          <w:sz w:val="21"/>
          <w:szCs w:val="21"/>
        </w:rPr>
        <w:t>A execução do objeto previsto neste Estudo Técnico Preliminar, consistente na prestação de serviços técnicos de assessoria, orientação e capacitação administrativa, não implica impactos ambientais relevantes, uma vez que se trata de atividade de natureza predominantemente intelectual e administrativa, desenvolvida em ambientes já existentes, sem intervenção física no meio ambiente, geração significativa de resíduos ou emissão de poluentes.</w:t>
      </w:r>
    </w:p>
    <w:p w14:paraId="12EDBCAC" w14:textId="77777777" w:rsidR="00B35966" w:rsidRPr="00B35966" w:rsidRDefault="00B35966" w:rsidP="00B35966">
      <w:pPr>
        <w:shd w:val="clear" w:color="auto" w:fill="FFFFFF" w:themeFill="background1"/>
        <w:spacing w:line="360" w:lineRule="auto"/>
        <w:ind w:firstLine="709"/>
        <w:jc w:val="both"/>
        <w:rPr>
          <w:rFonts w:ascii="Verdana" w:hAnsi="Verdana"/>
          <w:sz w:val="21"/>
          <w:szCs w:val="21"/>
        </w:rPr>
      </w:pPr>
      <w:r w:rsidRPr="00B35966">
        <w:rPr>
          <w:rFonts w:ascii="Verdana" w:hAnsi="Verdana"/>
          <w:sz w:val="21"/>
          <w:szCs w:val="21"/>
        </w:rPr>
        <w:t>As atividades serão realizadas, em sua maior parte, por meio de recursos tecnológicos e ferramentas digitais, bem como em espaços internos da Administração Municipal de Bom Sucesso do Sul/PR, o que reduz ainda mais qualquer potencial efeito ambiental adverso.</w:t>
      </w:r>
    </w:p>
    <w:p w14:paraId="456BC7C2" w14:textId="77777777" w:rsidR="00B35966" w:rsidRPr="00B35966" w:rsidRDefault="00B35966" w:rsidP="00B35966">
      <w:pPr>
        <w:shd w:val="clear" w:color="auto" w:fill="FFFFFF" w:themeFill="background1"/>
        <w:spacing w:line="360" w:lineRule="auto"/>
        <w:ind w:firstLine="709"/>
        <w:jc w:val="both"/>
        <w:rPr>
          <w:rFonts w:ascii="Verdana" w:hAnsi="Verdana"/>
          <w:sz w:val="21"/>
          <w:szCs w:val="21"/>
        </w:rPr>
      </w:pPr>
      <w:r w:rsidRPr="00B35966">
        <w:rPr>
          <w:rFonts w:ascii="Verdana" w:hAnsi="Verdana"/>
          <w:sz w:val="21"/>
          <w:szCs w:val="21"/>
        </w:rPr>
        <w:t>Ainda assim, em observância ao princípio do desenvolvimento sustentável, previsto no art. 11 da Lei nº 14.133/2021, serão adotadas, quando aplicável, as seguintes boas práticas ambientais:</w:t>
      </w:r>
    </w:p>
    <w:p w14:paraId="52DB3CEF" w14:textId="77777777" w:rsidR="00B35966" w:rsidRPr="00B35966" w:rsidRDefault="00B35966" w:rsidP="00B35966">
      <w:pPr>
        <w:shd w:val="clear" w:color="auto" w:fill="FFFFFF" w:themeFill="background1"/>
        <w:spacing w:line="360" w:lineRule="auto"/>
        <w:ind w:firstLine="709"/>
        <w:jc w:val="both"/>
        <w:rPr>
          <w:rFonts w:ascii="Verdana" w:hAnsi="Verdana"/>
          <w:sz w:val="21"/>
          <w:szCs w:val="21"/>
        </w:rPr>
      </w:pPr>
      <w:r w:rsidRPr="00B35966">
        <w:rPr>
          <w:rFonts w:ascii="Verdana" w:hAnsi="Verdana"/>
          <w:sz w:val="21"/>
          <w:szCs w:val="21"/>
        </w:rPr>
        <w:t>• priorização do uso de meios eletrônicos para comunicação, tramitação de documentos e disponibilização de materiais técnicos, evitando impressões desnecessárias;</w:t>
      </w:r>
    </w:p>
    <w:p w14:paraId="3FBD8666" w14:textId="77777777" w:rsidR="00B35966" w:rsidRPr="00B35966" w:rsidRDefault="00B35966" w:rsidP="00B35966">
      <w:pPr>
        <w:shd w:val="clear" w:color="auto" w:fill="FFFFFF" w:themeFill="background1"/>
        <w:spacing w:line="360" w:lineRule="auto"/>
        <w:ind w:firstLine="709"/>
        <w:jc w:val="both"/>
        <w:rPr>
          <w:rFonts w:ascii="Verdana" w:hAnsi="Verdana"/>
          <w:sz w:val="21"/>
          <w:szCs w:val="21"/>
        </w:rPr>
      </w:pPr>
      <w:r w:rsidRPr="00B35966">
        <w:rPr>
          <w:rFonts w:ascii="Verdana" w:hAnsi="Verdana"/>
          <w:sz w:val="21"/>
          <w:szCs w:val="21"/>
        </w:rPr>
        <w:t>• utilização racional de energia elétrica, água e materiais de escritório durante a execução das atividades;</w:t>
      </w:r>
    </w:p>
    <w:p w14:paraId="64D9CE45" w14:textId="77777777" w:rsidR="00B35966" w:rsidRPr="00B35966" w:rsidRDefault="00B35966" w:rsidP="00B35966">
      <w:pPr>
        <w:shd w:val="clear" w:color="auto" w:fill="FFFFFF" w:themeFill="background1"/>
        <w:spacing w:line="360" w:lineRule="auto"/>
        <w:ind w:firstLine="709"/>
        <w:jc w:val="both"/>
        <w:rPr>
          <w:rFonts w:ascii="Verdana" w:hAnsi="Verdana"/>
          <w:sz w:val="21"/>
          <w:szCs w:val="21"/>
        </w:rPr>
      </w:pPr>
      <w:r w:rsidRPr="00B35966">
        <w:rPr>
          <w:rFonts w:ascii="Verdana" w:hAnsi="Verdana"/>
          <w:sz w:val="21"/>
          <w:szCs w:val="21"/>
        </w:rPr>
        <w:lastRenderedPageBreak/>
        <w:t>• destinação adequada de eventuais resíduos administrativos, quando inevitáveis, em conformidade com a legislação ambiental vigente.</w:t>
      </w:r>
    </w:p>
    <w:p w14:paraId="12CB1765" w14:textId="77777777" w:rsidR="00B35966" w:rsidRPr="00B35966" w:rsidRDefault="00B35966" w:rsidP="00B35966">
      <w:pPr>
        <w:shd w:val="clear" w:color="auto" w:fill="FFFFFF" w:themeFill="background1"/>
        <w:spacing w:line="360" w:lineRule="auto"/>
        <w:ind w:firstLine="709"/>
        <w:jc w:val="both"/>
        <w:rPr>
          <w:rFonts w:ascii="Verdana" w:hAnsi="Verdana"/>
          <w:sz w:val="21"/>
          <w:szCs w:val="21"/>
        </w:rPr>
      </w:pPr>
      <w:r w:rsidRPr="00B35966">
        <w:rPr>
          <w:rFonts w:ascii="Verdana" w:hAnsi="Verdana"/>
          <w:sz w:val="21"/>
          <w:szCs w:val="21"/>
        </w:rPr>
        <w:t>Diante do exposto, conclui-se que a contratação não gera impacto ambiental significativo, sendo considerada ambientalmente compatível, em consonância com as diretrizes de responsabilidade socioambiental da Administração Pública e com a legislação vigente.</w:t>
      </w:r>
    </w:p>
    <w:p w14:paraId="144D2781" w14:textId="77777777" w:rsidR="00B35966" w:rsidRPr="00B35966" w:rsidRDefault="00B35966" w:rsidP="00B35966">
      <w:pPr>
        <w:shd w:val="clear" w:color="auto" w:fill="FFFFFF" w:themeFill="background1"/>
        <w:spacing w:line="360" w:lineRule="auto"/>
        <w:jc w:val="both"/>
        <w:rPr>
          <w:rFonts w:ascii="Verdana" w:eastAsiaTheme="minorEastAsia" w:hAnsi="Verdana"/>
          <w:sz w:val="21"/>
          <w:szCs w:val="21"/>
        </w:rPr>
      </w:pPr>
    </w:p>
    <w:p w14:paraId="6EF140F9" w14:textId="77777777" w:rsidR="00B35966" w:rsidRPr="00B35966" w:rsidRDefault="00B35966" w:rsidP="00B35966">
      <w:pPr>
        <w:shd w:val="clear" w:color="auto" w:fill="FFFFFF" w:themeFill="background1"/>
        <w:spacing w:line="360" w:lineRule="auto"/>
        <w:jc w:val="both"/>
        <w:rPr>
          <w:rFonts w:ascii="Verdana" w:hAnsi="Verdana"/>
          <w:color w:val="FF0000"/>
          <w:sz w:val="21"/>
          <w:szCs w:val="21"/>
        </w:rPr>
      </w:pPr>
      <w:r w:rsidRPr="00B35966">
        <w:rPr>
          <w:rFonts w:ascii="Verdana" w:hAnsi="Verdana"/>
          <w:b/>
          <w:sz w:val="21"/>
          <w:szCs w:val="21"/>
        </w:rPr>
        <w:t>XIII - Posicionamento conclusivo sobre a adequação da contratação para o atendimento da necessidade a que se destina</w:t>
      </w:r>
      <w:r w:rsidRPr="00B35966">
        <w:rPr>
          <w:rFonts w:ascii="Verdana" w:hAnsi="Verdana"/>
          <w:sz w:val="21"/>
          <w:szCs w:val="21"/>
        </w:rPr>
        <w:t>:</w:t>
      </w:r>
    </w:p>
    <w:p w14:paraId="38568ABE" w14:textId="77777777" w:rsidR="00B35966" w:rsidRPr="00B35966" w:rsidRDefault="00B35966" w:rsidP="00B35966">
      <w:pPr>
        <w:shd w:val="clear" w:color="auto" w:fill="FFFFFF" w:themeFill="background1"/>
        <w:spacing w:line="360" w:lineRule="auto"/>
        <w:ind w:firstLine="709"/>
        <w:jc w:val="both"/>
        <w:rPr>
          <w:rFonts w:ascii="Verdana" w:hAnsi="Verdana"/>
          <w:sz w:val="21"/>
          <w:szCs w:val="21"/>
        </w:rPr>
      </w:pPr>
      <w:r w:rsidRPr="00B35966">
        <w:rPr>
          <w:rFonts w:ascii="Verdana" w:hAnsi="Verdana"/>
          <w:sz w:val="21"/>
          <w:szCs w:val="21"/>
        </w:rPr>
        <w:t xml:space="preserve">Diante de todo o exposto, conclui-se que a presente contratação </w:t>
      </w:r>
      <w:proofErr w:type="gramStart"/>
      <w:r w:rsidRPr="00B35966">
        <w:rPr>
          <w:rFonts w:ascii="Verdana" w:hAnsi="Verdana"/>
          <w:sz w:val="21"/>
          <w:szCs w:val="21"/>
        </w:rPr>
        <w:t>mostra-se</w:t>
      </w:r>
      <w:proofErr w:type="gramEnd"/>
      <w:r w:rsidRPr="00B35966">
        <w:rPr>
          <w:rFonts w:ascii="Verdana" w:hAnsi="Verdana"/>
          <w:sz w:val="21"/>
          <w:szCs w:val="21"/>
        </w:rPr>
        <w:t xml:space="preserve"> adequada, necessária e vantajosa ao interesse público, por atender à necessidade identificada pela Administração Municipal de Bom Sucesso do Sul /PR de fortalecimento da capacidade técnica e administrativa relacionada à elaboração, instrução, acompanhamento e prestação de contas de projetos, planos de trabalho e instrumentos institucionais.</w:t>
      </w:r>
    </w:p>
    <w:p w14:paraId="6B155F48" w14:textId="77777777" w:rsidR="00B35966" w:rsidRPr="00B35966" w:rsidRDefault="00B35966" w:rsidP="00B35966">
      <w:pPr>
        <w:shd w:val="clear" w:color="auto" w:fill="FFFFFF" w:themeFill="background1"/>
        <w:spacing w:line="360" w:lineRule="auto"/>
        <w:ind w:firstLine="709"/>
        <w:jc w:val="both"/>
        <w:rPr>
          <w:rFonts w:ascii="Verdana" w:hAnsi="Verdana"/>
          <w:sz w:val="21"/>
          <w:szCs w:val="21"/>
        </w:rPr>
      </w:pPr>
      <w:r w:rsidRPr="00B35966">
        <w:rPr>
          <w:rFonts w:ascii="Verdana" w:hAnsi="Verdana"/>
          <w:sz w:val="21"/>
          <w:szCs w:val="21"/>
        </w:rPr>
        <w:t>A análise técnica realizada demonstrou a inviabilidade de competição, em razão da natureza predominantemente intelectual e singular do objeto, cuja execução exige metodologia própria, atuação integrada, interpretação normativa qualificada e relação de confiança técnica, circunstâncias que inviabilizam a comparação objetiva entre potenciais prestadores, nos termos do art. 74, inciso III, da Lei nº 14.133/2021.</w:t>
      </w:r>
    </w:p>
    <w:p w14:paraId="2DF53934" w14:textId="77777777" w:rsidR="00B35966" w:rsidRPr="00B35966" w:rsidRDefault="00B35966" w:rsidP="00B35966">
      <w:pPr>
        <w:shd w:val="clear" w:color="auto" w:fill="FFFFFF" w:themeFill="background1"/>
        <w:spacing w:line="360" w:lineRule="auto"/>
        <w:ind w:firstLine="709"/>
        <w:jc w:val="both"/>
        <w:rPr>
          <w:rFonts w:ascii="Verdana" w:hAnsi="Verdana"/>
          <w:sz w:val="21"/>
          <w:szCs w:val="21"/>
        </w:rPr>
      </w:pPr>
      <w:r w:rsidRPr="00B35966">
        <w:rPr>
          <w:rFonts w:ascii="Verdana" w:hAnsi="Verdana"/>
          <w:sz w:val="21"/>
          <w:szCs w:val="21"/>
        </w:rPr>
        <w:t>Restou evidenciada, ainda, a notória especialização do contratado, comprovada por sua atuação reiterada em serviços de natureza similar, pela qualificação de sua equipe técnica e pela experiência acumulada na execução de atividades compatíveis com o objeto desta contratação, elementos que, aliados à confiança técnica institucional, atendem de forma cumulativa aos requisitos legais para a inexigibilidade de licitação.</w:t>
      </w:r>
    </w:p>
    <w:p w14:paraId="33A05709" w14:textId="77777777" w:rsidR="00B35966" w:rsidRPr="00B35966" w:rsidRDefault="00B35966" w:rsidP="00B35966">
      <w:pPr>
        <w:shd w:val="clear" w:color="auto" w:fill="FFFFFF" w:themeFill="background1"/>
        <w:spacing w:line="360" w:lineRule="auto"/>
        <w:ind w:firstLine="709"/>
        <w:jc w:val="both"/>
        <w:rPr>
          <w:rFonts w:ascii="Verdana" w:hAnsi="Verdana"/>
          <w:sz w:val="21"/>
          <w:szCs w:val="21"/>
        </w:rPr>
      </w:pPr>
      <w:r w:rsidRPr="00B35966">
        <w:rPr>
          <w:rFonts w:ascii="Verdana" w:hAnsi="Verdana"/>
          <w:sz w:val="21"/>
          <w:szCs w:val="21"/>
        </w:rPr>
        <w:t xml:space="preserve">Verificou-se, igualmente, que o valor estimado da contratação </w:t>
      </w:r>
      <w:proofErr w:type="gramStart"/>
      <w:r w:rsidRPr="00B35966">
        <w:rPr>
          <w:rFonts w:ascii="Verdana" w:hAnsi="Verdana"/>
          <w:sz w:val="21"/>
          <w:szCs w:val="21"/>
        </w:rPr>
        <w:t>encontra-se</w:t>
      </w:r>
      <w:proofErr w:type="gramEnd"/>
      <w:r w:rsidRPr="00B35966">
        <w:rPr>
          <w:rFonts w:ascii="Verdana" w:hAnsi="Verdana"/>
          <w:sz w:val="21"/>
          <w:szCs w:val="21"/>
        </w:rPr>
        <w:t xml:space="preserve"> compatível com os parâmetros de mercado observados em contratações análogas realizadas por outros entes públicos, revelando-se proporcional à natureza, à complexidade e ao regime de execução dos serviços, sem indícios de sobrepreço ou inadequação econômica.</w:t>
      </w:r>
    </w:p>
    <w:p w14:paraId="2937B143" w14:textId="77777777" w:rsidR="00B35966" w:rsidRPr="00B35966" w:rsidRDefault="00B35966" w:rsidP="00B35966">
      <w:pPr>
        <w:shd w:val="clear" w:color="auto" w:fill="FFFFFF" w:themeFill="background1"/>
        <w:spacing w:line="360" w:lineRule="auto"/>
        <w:ind w:firstLine="709"/>
        <w:jc w:val="both"/>
        <w:rPr>
          <w:rFonts w:ascii="Verdana" w:hAnsi="Verdana"/>
          <w:sz w:val="21"/>
          <w:szCs w:val="21"/>
        </w:rPr>
      </w:pPr>
      <w:r w:rsidRPr="00B35966">
        <w:rPr>
          <w:rFonts w:ascii="Verdana" w:hAnsi="Verdana"/>
          <w:sz w:val="21"/>
          <w:szCs w:val="21"/>
        </w:rPr>
        <w:t>Dessa forma, conclui-se que a contratação direta por inexigibilidade de licitação revela-se tecnicamente viável, juridicamente amparada e administrativamente conveniente, atendendo aos princípios da legalidade, eficiência, economicidade, transparência e interesse público, razão pela qual o presente Estudo Técnico Preliminar declara VIÁVEL a contratação proposta.</w:t>
      </w:r>
    </w:p>
    <w:p w14:paraId="58982BA2" w14:textId="77777777" w:rsidR="00B35966" w:rsidRPr="00B35966" w:rsidRDefault="00B35966" w:rsidP="00B35966">
      <w:pPr>
        <w:shd w:val="clear" w:color="auto" w:fill="FFFFFF" w:themeFill="background1"/>
        <w:spacing w:line="360" w:lineRule="auto"/>
        <w:ind w:firstLine="709"/>
        <w:jc w:val="both"/>
        <w:rPr>
          <w:rFonts w:ascii="Verdana" w:hAnsi="Verdana"/>
          <w:sz w:val="21"/>
          <w:szCs w:val="21"/>
        </w:rPr>
      </w:pPr>
      <w:r w:rsidRPr="00B35966">
        <w:rPr>
          <w:rFonts w:ascii="Verdana" w:hAnsi="Verdana"/>
          <w:sz w:val="21"/>
          <w:szCs w:val="21"/>
        </w:rPr>
        <w:lastRenderedPageBreak/>
        <w:t>Encerrado o presente Estudo Técnico Preliminar, passa-se à elaboração do respectivo Termo de Referência, com vistas ao detalhamento das condições de execução da contratação.</w:t>
      </w:r>
    </w:p>
    <w:p w14:paraId="60CECCF4" w14:textId="77777777" w:rsidR="00B35966" w:rsidRPr="00B35966" w:rsidRDefault="00B35966" w:rsidP="00B35966">
      <w:pPr>
        <w:shd w:val="clear" w:color="auto" w:fill="FFFFFF" w:themeFill="background1"/>
        <w:spacing w:line="360" w:lineRule="auto"/>
        <w:ind w:firstLine="709"/>
        <w:jc w:val="both"/>
        <w:rPr>
          <w:rFonts w:ascii="Verdana" w:eastAsiaTheme="minorEastAsia" w:hAnsi="Verdana"/>
          <w:sz w:val="21"/>
          <w:szCs w:val="21"/>
        </w:rPr>
      </w:pPr>
    </w:p>
    <w:p w14:paraId="78998414" w14:textId="77777777" w:rsidR="00B35966" w:rsidRPr="00B35966" w:rsidRDefault="00B35966" w:rsidP="00B35966">
      <w:pPr>
        <w:shd w:val="clear" w:color="auto" w:fill="FFFFFF" w:themeFill="background1"/>
        <w:spacing w:line="360" w:lineRule="auto"/>
        <w:ind w:firstLine="709"/>
        <w:jc w:val="both"/>
        <w:rPr>
          <w:rFonts w:ascii="Verdana" w:hAnsi="Verdana"/>
          <w:sz w:val="21"/>
          <w:szCs w:val="21"/>
        </w:rPr>
      </w:pPr>
    </w:p>
    <w:bookmarkEnd w:id="0"/>
    <w:p w14:paraId="529FB619" w14:textId="52C59B24" w:rsidR="00B35966" w:rsidRDefault="00B35966" w:rsidP="00B35966">
      <w:pPr>
        <w:shd w:val="clear" w:color="auto" w:fill="FFFFFF" w:themeFill="background1"/>
        <w:spacing w:line="360" w:lineRule="auto"/>
        <w:ind w:firstLine="709"/>
        <w:jc w:val="both"/>
        <w:rPr>
          <w:rFonts w:ascii="Verdana" w:hAnsi="Verdana"/>
          <w:sz w:val="21"/>
          <w:szCs w:val="21"/>
        </w:rPr>
      </w:pPr>
      <w:r w:rsidRPr="00B35966">
        <w:rPr>
          <w:rFonts w:ascii="Verdana" w:hAnsi="Verdana"/>
          <w:sz w:val="21"/>
          <w:szCs w:val="21"/>
        </w:rPr>
        <w:t xml:space="preserve">Bom Sucesso do Sul/PR, </w:t>
      </w:r>
      <w:r>
        <w:rPr>
          <w:rFonts w:ascii="Verdana" w:hAnsi="Verdana"/>
          <w:sz w:val="21"/>
          <w:szCs w:val="21"/>
        </w:rPr>
        <w:t>24</w:t>
      </w:r>
      <w:r w:rsidRPr="00B35966">
        <w:rPr>
          <w:rFonts w:ascii="Verdana" w:hAnsi="Verdana"/>
          <w:sz w:val="21"/>
          <w:szCs w:val="21"/>
        </w:rPr>
        <w:t xml:space="preserve"> de </w:t>
      </w:r>
      <w:r>
        <w:rPr>
          <w:rFonts w:ascii="Verdana" w:hAnsi="Verdana"/>
          <w:sz w:val="21"/>
          <w:szCs w:val="21"/>
        </w:rPr>
        <w:t>fevereiro</w:t>
      </w:r>
      <w:r w:rsidRPr="00B35966">
        <w:rPr>
          <w:rFonts w:ascii="Verdana" w:hAnsi="Verdana"/>
          <w:sz w:val="21"/>
          <w:szCs w:val="21"/>
        </w:rPr>
        <w:t xml:space="preserve"> de 20</w:t>
      </w:r>
      <w:r>
        <w:rPr>
          <w:rFonts w:ascii="Verdana" w:hAnsi="Verdana"/>
          <w:sz w:val="21"/>
          <w:szCs w:val="21"/>
        </w:rPr>
        <w:t>26</w:t>
      </w:r>
      <w:r w:rsidRPr="00B35966">
        <w:rPr>
          <w:rFonts w:ascii="Verdana" w:hAnsi="Verdana"/>
          <w:sz w:val="21"/>
          <w:szCs w:val="21"/>
        </w:rPr>
        <w:t>.</w:t>
      </w:r>
    </w:p>
    <w:p w14:paraId="2C6378FE" w14:textId="77777777" w:rsidR="00B35966" w:rsidRDefault="00B35966" w:rsidP="00B35966">
      <w:pPr>
        <w:shd w:val="clear" w:color="auto" w:fill="FFFFFF" w:themeFill="background1"/>
        <w:spacing w:line="360" w:lineRule="auto"/>
        <w:jc w:val="both"/>
        <w:rPr>
          <w:rFonts w:ascii="Verdana" w:hAnsi="Verdana"/>
          <w:sz w:val="21"/>
          <w:szCs w:val="21"/>
        </w:rPr>
      </w:pPr>
    </w:p>
    <w:p w14:paraId="59EF9E63" w14:textId="77777777" w:rsidR="00B35966" w:rsidRDefault="00B35966" w:rsidP="00B35966">
      <w:pPr>
        <w:shd w:val="clear" w:color="auto" w:fill="FFFFFF" w:themeFill="background1"/>
        <w:spacing w:line="360" w:lineRule="auto"/>
        <w:jc w:val="both"/>
        <w:rPr>
          <w:rFonts w:ascii="Verdana" w:hAnsi="Verdana"/>
          <w:sz w:val="21"/>
          <w:szCs w:val="21"/>
        </w:rPr>
      </w:pPr>
    </w:p>
    <w:p w14:paraId="76D51351" w14:textId="77777777" w:rsidR="00B35966" w:rsidRPr="00B35966" w:rsidRDefault="00B35966" w:rsidP="00B35966">
      <w:pPr>
        <w:shd w:val="clear" w:color="auto" w:fill="FFFFFF" w:themeFill="background1"/>
        <w:jc w:val="both"/>
        <w:rPr>
          <w:rFonts w:ascii="Verdana" w:hAnsi="Verdana"/>
          <w:b/>
          <w:bCs/>
          <w:sz w:val="21"/>
          <w:szCs w:val="21"/>
        </w:rPr>
      </w:pPr>
    </w:p>
    <w:p w14:paraId="74E035DB" w14:textId="0CD3E417" w:rsidR="00B35966" w:rsidRPr="00B35966" w:rsidRDefault="00B35966" w:rsidP="00B35966">
      <w:pPr>
        <w:shd w:val="clear" w:color="auto" w:fill="FFFFFF" w:themeFill="background1"/>
        <w:jc w:val="center"/>
        <w:rPr>
          <w:rFonts w:ascii="Verdana" w:hAnsi="Verdana"/>
          <w:b/>
          <w:bCs/>
          <w:sz w:val="21"/>
          <w:szCs w:val="21"/>
        </w:rPr>
      </w:pPr>
      <w:r w:rsidRPr="00B35966">
        <w:rPr>
          <w:rFonts w:ascii="Verdana" w:hAnsi="Verdana"/>
          <w:b/>
          <w:bCs/>
          <w:sz w:val="21"/>
          <w:szCs w:val="21"/>
        </w:rPr>
        <w:t>LOIDIR SALVI</w:t>
      </w:r>
    </w:p>
    <w:p w14:paraId="7605F1D8" w14:textId="43B22121" w:rsidR="00B35966" w:rsidRPr="00B35966" w:rsidRDefault="00B35966" w:rsidP="00B35966">
      <w:pPr>
        <w:shd w:val="clear" w:color="auto" w:fill="FFFFFF" w:themeFill="background1"/>
        <w:jc w:val="center"/>
        <w:rPr>
          <w:rFonts w:ascii="Verdana" w:hAnsi="Verdana"/>
          <w:b/>
          <w:bCs/>
          <w:sz w:val="21"/>
          <w:szCs w:val="21"/>
        </w:rPr>
      </w:pPr>
      <w:r w:rsidRPr="00B35966">
        <w:rPr>
          <w:rFonts w:ascii="Verdana" w:hAnsi="Verdana"/>
          <w:b/>
          <w:bCs/>
          <w:sz w:val="21"/>
          <w:szCs w:val="21"/>
        </w:rPr>
        <w:t>DIRETORA DO DEP. DE ADMINISTRAÇÃO</w:t>
      </w:r>
    </w:p>
    <w:sectPr w:rsidR="00B35966" w:rsidRPr="00B35966" w:rsidSect="007836D6">
      <w:type w:val="continuous"/>
      <w:pgSz w:w="11907" w:h="16840" w:code="9"/>
      <w:pgMar w:top="2835" w:right="85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332BBC" w14:textId="77777777" w:rsidR="007043B3" w:rsidRDefault="007043B3" w:rsidP="000B588E">
      <w:r>
        <w:separator/>
      </w:r>
    </w:p>
  </w:endnote>
  <w:endnote w:type="continuationSeparator" w:id="0">
    <w:p w14:paraId="6B382EEF" w14:textId="77777777" w:rsidR="007043B3" w:rsidRDefault="007043B3" w:rsidP="000B5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5246E" w14:textId="7FDF08C8" w:rsidR="000B588E" w:rsidRPr="000B588E" w:rsidRDefault="000B588E" w:rsidP="00987600">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CF60FB" w14:textId="77777777" w:rsidR="007043B3" w:rsidRDefault="007043B3" w:rsidP="000B588E">
      <w:r>
        <w:separator/>
      </w:r>
    </w:p>
  </w:footnote>
  <w:footnote w:type="continuationSeparator" w:id="0">
    <w:p w14:paraId="013D7625" w14:textId="77777777" w:rsidR="007043B3" w:rsidRDefault="007043B3" w:rsidP="000B58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F401E"/>
    <w:multiLevelType w:val="hybridMultilevel"/>
    <w:tmpl w:val="F8A42C48"/>
    <w:lvl w:ilvl="0" w:tplc="3768DA4E">
      <w:start w:val="1"/>
      <w:numFmt w:val="decimal"/>
      <w:lvlText w:val="%1."/>
      <w:lvlJc w:val="left"/>
      <w:pPr>
        <w:ind w:left="2130" w:hanging="360"/>
      </w:pPr>
      <w:rPr>
        <w:b/>
      </w:r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1" w15:restartNumberingAfterBreak="0">
    <w:nsid w:val="18A93225"/>
    <w:multiLevelType w:val="hybridMultilevel"/>
    <w:tmpl w:val="08064C50"/>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 w15:restartNumberingAfterBreak="0">
    <w:nsid w:val="1FAC4135"/>
    <w:multiLevelType w:val="hybridMultilevel"/>
    <w:tmpl w:val="BB9CF4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0DE2EA7"/>
    <w:multiLevelType w:val="hybridMultilevel"/>
    <w:tmpl w:val="FC9452B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66E160F"/>
    <w:multiLevelType w:val="hybridMultilevel"/>
    <w:tmpl w:val="DAF47152"/>
    <w:lvl w:ilvl="0" w:tplc="0416000D">
      <w:start w:val="1"/>
      <w:numFmt w:val="bullet"/>
      <w:lvlText w:val=""/>
      <w:lvlJc w:val="left"/>
      <w:pPr>
        <w:ind w:left="1428" w:hanging="360"/>
      </w:pPr>
      <w:rPr>
        <w:rFonts w:ascii="Wingdings" w:hAnsi="Wingding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5" w15:restartNumberingAfterBreak="0">
    <w:nsid w:val="32175C46"/>
    <w:multiLevelType w:val="hybridMultilevel"/>
    <w:tmpl w:val="5F00FAF6"/>
    <w:lvl w:ilvl="0" w:tplc="0416000F">
      <w:start w:val="1"/>
      <w:numFmt w:val="decimal"/>
      <w:lvlText w:val="%1."/>
      <w:lvlJc w:val="left"/>
      <w:pPr>
        <w:ind w:left="1500" w:hanging="360"/>
      </w:p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6" w15:restartNumberingAfterBreak="0">
    <w:nsid w:val="41011625"/>
    <w:multiLevelType w:val="hybridMultilevel"/>
    <w:tmpl w:val="9586A49C"/>
    <w:lvl w:ilvl="0" w:tplc="04160001">
      <w:start w:val="1"/>
      <w:numFmt w:val="bullet"/>
      <w:lvlText w:val=""/>
      <w:lvlJc w:val="left"/>
      <w:pPr>
        <w:ind w:left="3554" w:hanging="360"/>
      </w:pPr>
      <w:rPr>
        <w:rFonts w:ascii="Symbol" w:hAnsi="Symbol" w:hint="default"/>
      </w:rPr>
    </w:lvl>
    <w:lvl w:ilvl="1" w:tplc="04160003" w:tentative="1">
      <w:start w:val="1"/>
      <w:numFmt w:val="bullet"/>
      <w:lvlText w:val="o"/>
      <w:lvlJc w:val="left"/>
      <w:pPr>
        <w:ind w:left="4274" w:hanging="360"/>
      </w:pPr>
      <w:rPr>
        <w:rFonts w:ascii="Courier New" w:hAnsi="Courier New" w:cs="Courier New" w:hint="default"/>
      </w:rPr>
    </w:lvl>
    <w:lvl w:ilvl="2" w:tplc="04160005" w:tentative="1">
      <w:start w:val="1"/>
      <w:numFmt w:val="bullet"/>
      <w:lvlText w:val=""/>
      <w:lvlJc w:val="left"/>
      <w:pPr>
        <w:ind w:left="4994" w:hanging="360"/>
      </w:pPr>
      <w:rPr>
        <w:rFonts w:ascii="Wingdings" w:hAnsi="Wingdings" w:hint="default"/>
      </w:rPr>
    </w:lvl>
    <w:lvl w:ilvl="3" w:tplc="04160001" w:tentative="1">
      <w:start w:val="1"/>
      <w:numFmt w:val="bullet"/>
      <w:lvlText w:val=""/>
      <w:lvlJc w:val="left"/>
      <w:pPr>
        <w:ind w:left="5714" w:hanging="360"/>
      </w:pPr>
      <w:rPr>
        <w:rFonts w:ascii="Symbol" w:hAnsi="Symbol" w:hint="default"/>
      </w:rPr>
    </w:lvl>
    <w:lvl w:ilvl="4" w:tplc="04160003" w:tentative="1">
      <w:start w:val="1"/>
      <w:numFmt w:val="bullet"/>
      <w:lvlText w:val="o"/>
      <w:lvlJc w:val="left"/>
      <w:pPr>
        <w:ind w:left="6434" w:hanging="360"/>
      </w:pPr>
      <w:rPr>
        <w:rFonts w:ascii="Courier New" w:hAnsi="Courier New" w:cs="Courier New" w:hint="default"/>
      </w:rPr>
    </w:lvl>
    <w:lvl w:ilvl="5" w:tplc="04160005" w:tentative="1">
      <w:start w:val="1"/>
      <w:numFmt w:val="bullet"/>
      <w:lvlText w:val=""/>
      <w:lvlJc w:val="left"/>
      <w:pPr>
        <w:ind w:left="7154" w:hanging="360"/>
      </w:pPr>
      <w:rPr>
        <w:rFonts w:ascii="Wingdings" w:hAnsi="Wingdings" w:hint="default"/>
      </w:rPr>
    </w:lvl>
    <w:lvl w:ilvl="6" w:tplc="04160001" w:tentative="1">
      <w:start w:val="1"/>
      <w:numFmt w:val="bullet"/>
      <w:lvlText w:val=""/>
      <w:lvlJc w:val="left"/>
      <w:pPr>
        <w:ind w:left="7874" w:hanging="360"/>
      </w:pPr>
      <w:rPr>
        <w:rFonts w:ascii="Symbol" w:hAnsi="Symbol" w:hint="default"/>
      </w:rPr>
    </w:lvl>
    <w:lvl w:ilvl="7" w:tplc="04160003" w:tentative="1">
      <w:start w:val="1"/>
      <w:numFmt w:val="bullet"/>
      <w:lvlText w:val="o"/>
      <w:lvlJc w:val="left"/>
      <w:pPr>
        <w:ind w:left="8594" w:hanging="360"/>
      </w:pPr>
      <w:rPr>
        <w:rFonts w:ascii="Courier New" w:hAnsi="Courier New" w:cs="Courier New" w:hint="default"/>
      </w:rPr>
    </w:lvl>
    <w:lvl w:ilvl="8" w:tplc="04160005" w:tentative="1">
      <w:start w:val="1"/>
      <w:numFmt w:val="bullet"/>
      <w:lvlText w:val=""/>
      <w:lvlJc w:val="left"/>
      <w:pPr>
        <w:ind w:left="9314" w:hanging="360"/>
      </w:pPr>
      <w:rPr>
        <w:rFonts w:ascii="Wingdings" w:hAnsi="Wingdings" w:hint="default"/>
      </w:rPr>
    </w:lvl>
  </w:abstractNum>
  <w:abstractNum w:abstractNumId="7" w15:restartNumberingAfterBreak="0">
    <w:nsid w:val="43AD08D7"/>
    <w:multiLevelType w:val="hybridMultilevel"/>
    <w:tmpl w:val="EDC428C4"/>
    <w:lvl w:ilvl="0" w:tplc="14EAB23A">
      <w:start w:val="1"/>
      <w:numFmt w:val="decimal"/>
      <w:lvlText w:val="%1-"/>
      <w:lvlJc w:val="left"/>
      <w:pPr>
        <w:ind w:left="1770" w:hanging="360"/>
      </w:pPr>
      <w:rPr>
        <w:rFonts w:ascii="Verdana" w:hAnsi="Verdana" w:hint="default"/>
        <w:i w:val="0"/>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8" w15:restartNumberingAfterBreak="0">
    <w:nsid w:val="58CB3BDD"/>
    <w:multiLevelType w:val="hybridMultilevel"/>
    <w:tmpl w:val="7A5C968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D772308"/>
    <w:multiLevelType w:val="hybridMultilevel"/>
    <w:tmpl w:val="384E8D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79943660">
    <w:abstractNumId w:val="0"/>
  </w:num>
  <w:num w:numId="2" w16cid:durableId="1835994680">
    <w:abstractNumId w:val="5"/>
  </w:num>
  <w:num w:numId="3" w16cid:durableId="97020403">
    <w:abstractNumId w:val="7"/>
  </w:num>
  <w:num w:numId="4" w16cid:durableId="256331173">
    <w:abstractNumId w:val="6"/>
  </w:num>
  <w:num w:numId="5" w16cid:durableId="228422848">
    <w:abstractNumId w:val="9"/>
  </w:num>
  <w:num w:numId="6" w16cid:durableId="2012171595">
    <w:abstractNumId w:val="1"/>
  </w:num>
  <w:num w:numId="7" w16cid:durableId="1665015157">
    <w:abstractNumId w:val="4"/>
  </w:num>
  <w:num w:numId="8" w16cid:durableId="601454865">
    <w:abstractNumId w:val="3"/>
  </w:num>
  <w:num w:numId="9" w16cid:durableId="257492384">
    <w:abstractNumId w:val="8"/>
  </w:num>
  <w:num w:numId="10" w16cid:durableId="1912427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76F"/>
    <w:rsid w:val="000131BB"/>
    <w:rsid w:val="00041645"/>
    <w:rsid w:val="00063067"/>
    <w:rsid w:val="00066B7A"/>
    <w:rsid w:val="000675FF"/>
    <w:rsid w:val="00076867"/>
    <w:rsid w:val="000805D0"/>
    <w:rsid w:val="00085923"/>
    <w:rsid w:val="000876A6"/>
    <w:rsid w:val="000A1278"/>
    <w:rsid w:val="000B4238"/>
    <w:rsid w:val="000B47BB"/>
    <w:rsid w:val="000B588E"/>
    <w:rsid w:val="000C5EDC"/>
    <w:rsid w:val="000C7C3C"/>
    <w:rsid w:val="000D21BA"/>
    <w:rsid w:val="000E48B3"/>
    <w:rsid w:val="000E746F"/>
    <w:rsid w:val="000F63B5"/>
    <w:rsid w:val="0011359B"/>
    <w:rsid w:val="00114DA0"/>
    <w:rsid w:val="00117909"/>
    <w:rsid w:val="00137F68"/>
    <w:rsid w:val="0017019D"/>
    <w:rsid w:val="0018168B"/>
    <w:rsid w:val="00197DB8"/>
    <w:rsid w:val="001A759D"/>
    <w:rsid w:val="001B122D"/>
    <w:rsid w:val="001B39E8"/>
    <w:rsid w:val="001C5CEF"/>
    <w:rsid w:val="001C6CB8"/>
    <w:rsid w:val="001D52BA"/>
    <w:rsid w:val="001F339B"/>
    <w:rsid w:val="001F6D2C"/>
    <w:rsid w:val="00226180"/>
    <w:rsid w:val="00235F56"/>
    <w:rsid w:val="00243E39"/>
    <w:rsid w:val="00247BDF"/>
    <w:rsid w:val="00255E4A"/>
    <w:rsid w:val="002663E0"/>
    <w:rsid w:val="002A2CCF"/>
    <w:rsid w:val="002A6099"/>
    <w:rsid w:val="002A6B5D"/>
    <w:rsid w:val="00310AAF"/>
    <w:rsid w:val="00320D7C"/>
    <w:rsid w:val="00321FE7"/>
    <w:rsid w:val="00332015"/>
    <w:rsid w:val="00372E3F"/>
    <w:rsid w:val="00376C06"/>
    <w:rsid w:val="00381E93"/>
    <w:rsid w:val="00392EA3"/>
    <w:rsid w:val="003A11BA"/>
    <w:rsid w:val="003B05AC"/>
    <w:rsid w:val="003C3743"/>
    <w:rsid w:val="003E1AAE"/>
    <w:rsid w:val="003E7D20"/>
    <w:rsid w:val="004049CC"/>
    <w:rsid w:val="00413CDF"/>
    <w:rsid w:val="00415398"/>
    <w:rsid w:val="004377BB"/>
    <w:rsid w:val="00441CC0"/>
    <w:rsid w:val="0045291B"/>
    <w:rsid w:val="00463896"/>
    <w:rsid w:val="00474774"/>
    <w:rsid w:val="00483256"/>
    <w:rsid w:val="00484C47"/>
    <w:rsid w:val="00494CB3"/>
    <w:rsid w:val="00497E23"/>
    <w:rsid w:val="004A227B"/>
    <w:rsid w:val="004A3A0D"/>
    <w:rsid w:val="004B1CDD"/>
    <w:rsid w:val="004B6D51"/>
    <w:rsid w:val="004F7058"/>
    <w:rsid w:val="0050131D"/>
    <w:rsid w:val="00521CDC"/>
    <w:rsid w:val="00523CE7"/>
    <w:rsid w:val="00530356"/>
    <w:rsid w:val="00534152"/>
    <w:rsid w:val="005537DA"/>
    <w:rsid w:val="00596E9C"/>
    <w:rsid w:val="00597C59"/>
    <w:rsid w:val="005A1DB1"/>
    <w:rsid w:val="005A776F"/>
    <w:rsid w:val="005D1C31"/>
    <w:rsid w:val="005D2ABA"/>
    <w:rsid w:val="005E43EE"/>
    <w:rsid w:val="005F5EA5"/>
    <w:rsid w:val="0060647A"/>
    <w:rsid w:val="00610933"/>
    <w:rsid w:val="00627E35"/>
    <w:rsid w:val="0065463A"/>
    <w:rsid w:val="00680558"/>
    <w:rsid w:val="00691814"/>
    <w:rsid w:val="006A1F85"/>
    <w:rsid w:val="006A3AD9"/>
    <w:rsid w:val="006A3C88"/>
    <w:rsid w:val="006C17C2"/>
    <w:rsid w:val="006C68D5"/>
    <w:rsid w:val="006D161D"/>
    <w:rsid w:val="006D23C5"/>
    <w:rsid w:val="006D5BEC"/>
    <w:rsid w:val="00702273"/>
    <w:rsid w:val="007043B3"/>
    <w:rsid w:val="00736473"/>
    <w:rsid w:val="00747FBE"/>
    <w:rsid w:val="00750E2A"/>
    <w:rsid w:val="0075641B"/>
    <w:rsid w:val="007571D5"/>
    <w:rsid w:val="0076556D"/>
    <w:rsid w:val="007836D6"/>
    <w:rsid w:val="007A38D2"/>
    <w:rsid w:val="007A5B0D"/>
    <w:rsid w:val="007B57E2"/>
    <w:rsid w:val="007C132E"/>
    <w:rsid w:val="007C2424"/>
    <w:rsid w:val="007D034E"/>
    <w:rsid w:val="007D1E9B"/>
    <w:rsid w:val="007D780E"/>
    <w:rsid w:val="007F34C3"/>
    <w:rsid w:val="00800C2E"/>
    <w:rsid w:val="00814CB5"/>
    <w:rsid w:val="008176E4"/>
    <w:rsid w:val="0082140B"/>
    <w:rsid w:val="00825E06"/>
    <w:rsid w:val="00840A26"/>
    <w:rsid w:val="008706E6"/>
    <w:rsid w:val="00872530"/>
    <w:rsid w:val="00872B51"/>
    <w:rsid w:val="00882E20"/>
    <w:rsid w:val="00894E6B"/>
    <w:rsid w:val="00895D46"/>
    <w:rsid w:val="008A6E8D"/>
    <w:rsid w:val="008B4CE1"/>
    <w:rsid w:val="008C4C90"/>
    <w:rsid w:val="008C510A"/>
    <w:rsid w:val="008D4CE5"/>
    <w:rsid w:val="008D6D75"/>
    <w:rsid w:val="008E2F0A"/>
    <w:rsid w:val="008F0465"/>
    <w:rsid w:val="008F6DB3"/>
    <w:rsid w:val="0095029B"/>
    <w:rsid w:val="00950985"/>
    <w:rsid w:val="0095622E"/>
    <w:rsid w:val="009577D7"/>
    <w:rsid w:val="00961FFB"/>
    <w:rsid w:val="00985322"/>
    <w:rsid w:val="00987600"/>
    <w:rsid w:val="009972B8"/>
    <w:rsid w:val="009A2A2E"/>
    <w:rsid w:val="009B4CB3"/>
    <w:rsid w:val="009B607A"/>
    <w:rsid w:val="009E07AC"/>
    <w:rsid w:val="009E3C19"/>
    <w:rsid w:val="00A01C12"/>
    <w:rsid w:val="00A020BE"/>
    <w:rsid w:val="00A05870"/>
    <w:rsid w:val="00A16963"/>
    <w:rsid w:val="00A21599"/>
    <w:rsid w:val="00A65596"/>
    <w:rsid w:val="00A852F7"/>
    <w:rsid w:val="00AA6CA7"/>
    <w:rsid w:val="00AE35B3"/>
    <w:rsid w:val="00AF2FC8"/>
    <w:rsid w:val="00AF7309"/>
    <w:rsid w:val="00AF7493"/>
    <w:rsid w:val="00B062C4"/>
    <w:rsid w:val="00B132E6"/>
    <w:rsid w:val="00B13765"/>
    <w:rsid w:val="00B35966"/>
    <w:rsid w:val="00B35F16"/>
    <w:rsid w:val="00B6449C"/>
    <w:rsid w:val="00B776E6"/>
    <w:rsid w:val="00B84C5A"/>
    <w:rsid w:val="00B85237"/>
    <w:rsid w:val="00B86C10"/>
    <w:rsid w:val="00BC6F56"/>
    <w:rsid w:val="00BD0525"/>
    <w:rsid w:val="00BD5FD6"/>
    <w:rsid w:val="00BD639F"/>
    <w:rsid w:val="00BE68E9"/>
    <w:rsid w:val="00C07B04"/>
    <w:rsid w:val="00C22967"/>
    <w:rsid w:val="00C247B9"/>
    <w:rsid w:val="00C42591"/>
    <w:rsid w:val="00C7441B"/>
    <w:rsid w:val="00C777CE"/>
    <w:rsid w:val="00C8032C"/>
    <w:rsid w:val="00CA3307"/>
    <w:rsid w:val="00CB6055"/>
    <w:rsid w:val="00CC0534"/>
    <w:rsid w:val="00CC2EDA"/>
    <w:rsid w:val="00CD7A61"/>
    <w:rsid w:val="00CE0C95"/>
    <w:rsid w:val="00CE74E4"/>
    <w:rsid w:val="00D006F7"/>
    <w:rsid w:val="00D01A75"/>
    <w:rsid w:val="00D10BD7"/>
    <w:rsid w:val="00D2495E"/>
    <w:rsid w:val="00D26574"/>
    <w:rsid w:val="00D30514"/>
    <w:rsid w:val="00D31806"/>
    <w:rsid w:val="00D36803"/>
    <w:rsid w:val="00D4189D"/>
    <w:rsid w:val="00D426E0"/>
    <w:rsid w:val="00D461E2"/>
    <w:rsid w:val="00D50AC4"/>
    <w:rsid w:val="00D70F97"/>
    <w:rsid w:val="00D81E5A"/>
    <w:rsid w:val="00D86E0F"/>
    <w:rsid w:val="00D9202C"/>
    <w:rsid w:val="00DA7455"/>
    <w:rsid w:val="00DC4788"/>
    <w:rsid w:val="00DE18A0"/>
    <w:rsid w:val="00DF7A6B"/>
    <w:rsid w:val="00E40460"/>
    <w:rsid w:val="00E4798F"/>
    <w:rsid w:val="00E61E8B"/>
    <w:rsid w:val="00E940AC"/>
    <w:rsid w:val="00E9430E"/>
    <w:rsid w:val="00EA1AF8"/>
    <w:rsid w:val="00EA304C"/>
    <w:rsid w:val="00EA6485"/>
    <w:rsid w:val="00EA71DE"/>
    <w:rsid w:val="00EB2C97"/>
    <w:rsid w:val="00EB34ED"/>
    <w:rsid w:val="00EC156E"/>
    <w:rsid w:val="00EC35CA"/>
    <w:rsid w:val="00F04D87"/>
    <w:rsid w:val="00F05565"/>
    <w:rsid w:val="00F119B7"/>
    <w:rsid w:val="00F15DEB"/>
    <w:rsid w:val="00F22F32"/>
    <w:rsid w:val="00F261DA"/>
    <w:rsid w:val="00F26DD5"/>
    <w:rsid w:val="00F31643"/>
    <w:rsid w:val="00F44C13"/>
    <w:rsid w:val="00F52062"/>
    <w:rsid w:val="00F6328B"/>
    <w:rsid w:val="00F70174"/>
    <w:rsid w:val="00F72BB8"/>
    <w:rsid w:val="00F864DA"/>
    <w:rsid w:val="00F90618"/>
    <w:rsid w:val="00F90A12"/>
    <w:rsid w:val="00FA7E53"/>
    <w:rsid w:val="00FB776B"/>
    <w:rsid w:val="00FC0169"/>
    <w:rsid w:val="00FC2DA5"/>
    <w:rsid w:val="00FE1F58"/>
    <w:rsid w:val="00FE7400"/>
    <w:rsid w:val="00FF4B7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1D8C5F"/>
  <w15:docId w15:val="{945428CF-A3FE-41DB-AB17-020B26B67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06F7"/>
    <w:rPr>
      <w:sz w:val="24"/>
      <w:szCs w:val="24"/>
    </w:rPr>
  </w:style>
  <w:style w:type="paragraph" w:styleId="Ttulo1">
    <w:name w:val="heading 1"/>
    <w:basedOn w:val="Normal"/>
    <w:link w:val="Ttulo1Char"/>
    <w:uiPriority w:val="9"/>
    <w:qFormat/>
    <w:rsid w:val="00F70174"/>
    <w:pPr>
      <w:spacing w:before="100" w:beforeAutospacing="1" w:after="100" w:afterAutospacing="1"/>
      <w:outlineLvl w:val="0"/>
    </w:pPr>
    <w:rPr>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rsid w:val="008A6E8D"/>
    <w:rPr>
      <w:sz w:val="16"/>
      <w:szCs w:val="16"/>
    </w:rPr>
  </w:style>
  <w:style w:type="paragraph" w:styleId="Textodecomentrio">
    <w:name w:val="annotation text"/>
    <w:basedOn w:val="Normal"/>
    <w:link w:val="TextodecomentrioChar"/>
    <w:rsid w:val="008A6E8D"/>
    <w:rPr>
      <w:sz w:val="20"/>
      <w:szCs w:val="20"/>
    </w:rPr>
  </w:style>
  <w:style w:type="character" w:customStyle="1" w:styleId="TextodecomentrioChar">
    <w:name w:val="Texto de comentário Char"/>
    <w:basedOn w:val="Fontepargpadro"/>
    <w:link w:val="Textodecomentrio"/>
    <w:rsid w:val="008A6E8D"/>
  </w:style>
  <w:style w:type="paragraph" w:styleId="Assuntodocomentrio">
    <w:name w:val="annotation subject"/>
    <w:basedOn w:val="Textodecomentrio"/>
    <w:next w:val="Textodecomentrio"/>
    <w:link w:val="AssuntodocomentrioChar"/>
    <w:rsid w:val="008A6E8D"/>
    <w:rPr>
      <w:b/>
      <w:bCs/>
    </w:rPr>
  </w:style>
  <w:style w:type="character" w:customStyle="1" w:styleId="AssuntodocomentrioChar">
    <w:name w:val="Assunto do comentário Char"/>
    <w:link w:val="Assuntodocomentrio"/>
    <w:rsid w:val="008A6E8D"/>
    <w:rPr>
      <w:b/>
      <w:bCs/>
    </w:rPr>
  </w:style>
  <w:style w:type="paragraph" w:styleId="Textodebalo">
    <w:name w:val="Balloon Text"/>
    <w:basedOn w:val="Normal"/>
    <w:link w:val="TextodebaloChar"/>
    <w:rsid w:val="008A6E8D"/>
    <w:rPr>
      <w:rFonts w:ascii="Segoe UI" w:hAnsi="Segoe UI" w:cs="Segoe UI"/>
      <w:sz w:val="18"/>
      <w:szCs w:val="18"/>
    </w:rPr>
  </w:style>
  <w:style w:type="character" w:customStyle="1" w:styleId="TextodebaloChar">
    <w:name w:val="Texto de balão Char"/>
    <w:link w:val="Textodebalo"/>
    <w:rsid w:val="008A6E8D"/>
    <w:rPr>
      <w:rFonts w:ascii="Segoe UI" w:hAnsi="Segoe UI" w:cs="Segoe UI"/>
      <w:sz w:val="18"/>
      <w:szCs w:val="18"/>
    </w:rPr>
  </w:style>
  <w:style w:type="paragraph" w:styleId="PargrafodaLista">
    <w:name w:val="List Paragraph"/>
    <w:basedOn w:val="Normal"/>
    <w:uiPriority w:val="34"/>
    <w:qFormat/>
    <w:rsid w:val="00AA6CA7"/>
    <w:pPr>
      <w:ind w:left="708"/>
    </w:pPr>
  </w:style>
  <w:style w:type="paragraph" w:styleId="Cabealho">
    <w:name w:val="header"/>
    <w:basedOn w:val="Normal"/>
    <w:link w:val="CabealhoChar"/>
    <w:rsid w:val="000B588E"/>
    <w:pPr>
      <w:tabs>
        <w:tab w:val="center" w:pos="4252"/>
        <w:tab w:val="right" w:pos="8504"/>
      </w:tabs>
    </w:pPr>
  </w:style>
  <w:style w:type="character" w:customStyle="1" w:styleId="CabealhoChar">
    <w:name w:val="Cabeçalho Char"/>
    <w:link w:val="Cabealho"/>
    <w:rsid w:val="000B588E"/>
    <w:rPr>
      <w:sz w:val="24"/>
      <w:szCs w:val="24"/>
    </w:rPr>
  </w:style>
  <w:style w:type="paragraph" w:styleId="Rodap">
    <w:name w:val="footer"/>
    <w:basedOn w:val="Normal"/>
    <w:link w:val="RodapChar"/>
    <w:uiPriority w:val="99"/>
    <w:rsid w:val="000B588E"/>
    <w:pPr>
      <w:tabs>
        <w:tab w:val="center" w:pos="4252"/>
        <w:tab w:val="right" w:pos="8504"/>
      </w:tabs>
    </w:pPr>
  </w:style>
  <w:style w:type="character" w:customStyle="1" w:styleId="RodapChar">
    <w:name w:val="Rodapé Char"/>
    <w:link w:val="Rodap"/>
    <w:uiPriority w:val="99"/>
    <w:rsid w:val="000B588E"/>
    <w:rPr>
      <w:sz w:val="24"/>
      <w:szCs w:val="24"/>
    </w:rPr>
  </w:style>
  <w:style w:type="character" w:styleId="Forte">
    <w:name w:val="Strong"/>
    <w:uiPriority w:val="22"/>
    <w:qFormat/>
    <w:rsid w:val="000B588E"/>
    <w:rPr>
      <w:b/>
      <w:bCs/>
    </w:rPr>
  </w:style>
  <w:style w:type="paragraph" w:styleId="Corpodetexto">
    <w:name w:val="Body Text"/>
    <w:basedOn w:val="Normal"/>
    <w:link w:val="CorpodetextoChar"/>
    <w:unhideWhenUsed/>
    <w:rsid w:val="006D161D"/>
    <w:pPr>
      <w:jc w:val="both"/>
    </w:pPr>
    <w:rPr>
      <w:rFonts w:ascii="Arial" w:hAnsi="Arial" w:cs="Arial"/>
      <w:sz w:val="28"/>
      <w:szCs w:val="20"/>
    </w:rPr>
  </w:style>
  <w:style w:type="character" w:customStyle="1" w:styleId="CorpodetextoChar">
    <w:name w:val="Corpo de texto Char"/>
    <w:basedOn w:val="Fontepargpadro"/>
    <w:link w:val="Corpodetexto"/>
    <w:rsid w:val="006D161D"/>
    <w:rPr>
      <w:rFonts w:ascii="Arial" w:hAnsi="Arial" w:cs="Arial"/>
      <w:sz w:val="28"/>
    </w:rPr>
  </w:style>
  <w:style w:type="paragraph" w:customStyle="1" w:styleId="xmsonormal">
    <w:name w:val="x_msonormal"/>
    <w:basedOn w:val="Normal"/>
    <w:rsid w:val="006D161D"/>
    <w:pPr>
      <w:spacing w:before="100" w:beforeAutospacing="1" w:after="100" w:afterAutospacing="1"/>
    </w:pPr>
  </w:style>
  <w:style w:type="table" w:styleId="Tabelacomgrade">
    <w:name w:val="Table Grid"/>
    <w:basedOn w:val="Tabelanormal"/>
    <w:uiPriority w:val="39"/>
    <w:rsid w:val="00EA1AF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800C2E"/>
    <w:rPr>
      <w:rFonts w:ascii="Calibri" w:eastAsia="Calibri" w:hAnsi="Calibri"/>
      <w:sz w:val="22"/>
      <w:szCs w:val="22"/>
      <w:lang w:eastAsia="en-US"/>
    </w:rPr>
  </w:style>
  <w:style w:type="character" w:customStyle="1" w:styleId="Ttulo1Char">
    <w:name w:val="Título 1 Char"/>
    <w:basedOn w:val="Fontepargpadro"/>
    <w:link w:val="Ttulo1"/>
    <w:uiPriority w:val="9"/>
    <w:rsid w:val="00F70174"/>
    <w:rPr>
      <w:b/>
      <w:bCs/>
      <w:kern w:val="36"/>
      <w:sz w:val="48"/>
      <w:szCs w:val="48"/>
    </w:rPr>
  </w:style>
  <w:style w:type="character" w:styleId="Hyperlink">
    <w:name w:val="Hyperlink"/>
    <w:basedOn w:val="Fontepargpadro"/>
    <w:uiPriority w:val="99"/>
    <w:semiHidden/>
    <w:unhideWhenUsed/>
    <w:rsid w:val="000F63B5"/>
    <w:rPr>
      <w:color w:val="0000FF"/>
      <w:u w:val="single"/>
    </w:rPr>
  </w:style>
  <w:style w:type="paragraph" w:styleId="NormalWeb">
    <w:name w:val="Normal (Web)"/>
    <w:basedOn w:val="Normal"/>
    <w:uiPriority w:val="99"/>
    <w:unhideWhenUsed/>
    <w:qFormat/>
    <w:rsid w:val="00C247B9"/>
    <w:pPr>
      <w:spacing w:before="100" w:beforeAutospacing="1" w:after="100" w:afterAutospacing="1"/>
    </w:pPr>
  </w:style>
  <w:style w:type="paragraph" w:customStyle="1" w:styleId="normal1">
    <w:name w:val="normal1"/>
    <w:qFormat/>
    <w:rsid w:val="005E43EE"/>
    <w:pPr>
      <w:suppressAutoHyphens/>
      <w:spacing w:after="160" w:line="259" w:lineRule="auto"/>
    </w:pPr>
    <w:rPr>
      <w:rFonts w:ascii="Calibri" w:eastAsia="Calibri" w:hAnsi="Calibri" w:cs="Calibri"/>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52932">
      <w:bodyDiv w:val="1"/>
      <w:marLeft w:val="0"/>
      <w:marRight w:val="0"/>
      <w:marTop w:val="0"/>
      <w:marBottom w:val="0"/>
      <w:divBdr>
        <w:top w:val="none" w:sz="0" w:space="0" w:color="auto"/>
        <w:left w:val="none" w:sz="0" w:space="0" w:color="auto"/>
        <w:bottom w:val="none" w:sz="0" w:space="0" w:color="auto"/>
        <w:right w:val="none" w:sz="0" w:space="0" w:color="auto"/>
      </w:divBdr>
      <w:divsChild>
        <w:div w:id="1467702817">
          <w:marLeft w:val="0"/>
          <w:marRight w:val="0"/>
          <w:marTop w:val="0"/>
          <w:marBottom w:val="0"/>
          <w:divBdr>
            <w:top w:val="none" w:sz="0" w:space="0" w:color="auto"/>
            <w:left w:val="none" w:sz="0" w:space="0" w:color="auto"/>
            <w:bottom w:val="none" w:sz="0" w:space="0" w:color="auto"/>
            <w:right w:val="none" w:sz="0" w:space="0" w:color="auto"/>
          </w:divBdr>
        </w:div>
        <w:div w:id="1572303356">
          <w:marLeft w:val="0"/>
          <w:marRight w:val="0"/>
          <w:marTop w:val="0"/>
          <w:marBottom w:val="0"/>
          <w:divBdr>
            <w:top w:val="none" w:sz="0" w:space="0" w:color="auto"/>
            <w:left w:val="none" w:sz="0" w:space="0" w:color="auto"/>
            <w:bottom w:val="none" w:sz="0" w:space="0" w:color="auto"/>
            <w:right w:val="none" w:sz="0" w:space="0" w:color="auto"/>
          </w:divBdr>
        </w:div>
        <w:div w:id="452990484">
          <w:marLeft w:val="0"/>
          <w:marRight w:val="0"/>
          <w:marTop w:val="0"/>
          <w:marBottom w:val="0"/>
          <w:divBdr>
            <w:top w:val="none" w:sz="0" w:space="0" w:color="auto"/>
            <w:left w:val="none" w:sz="0" w:space="0" w:color="auto"/>
            <w:bottom w:val="none" w:sz="0" w:space="0" w:color="auto"/>
            <w:right w:val="none" w:sz="0" w:space="0" w:color="auto"/>
          </w:divBdr>
        </w:div>
      </w:divsChild>
    </w:div>
    <w:div w:id="117771108">
      <w:bodyDiv w:val="1"/>
      <w:marLeft w:val="0"/>
      <w:marRight w:val="0"/>
      <w:marTop w:val="0"/>
      <w:marBottom w:val="0"/>
      <w:divBdr>
        <w:top w:val="none" w:sz="0" w:space="0" w:color="auto"/>
        <w:left w:val="none" w:sz="0" w:space="0" w:color="auto"/>
        <w:bottom w:val="none" w:sz="0" w:space="0" w:color="auto"/>
        <w:right w:val="none" w:sz="0" w:space="0" w:color="auto"/>
      </w:divBdr>
    </w:div>
    <w:div w:id="157042711">
      <w:bodyDiv w:val="1"/>
      <w:marLeft w:val="0"/>
      <w:marRight w:val="0"/>
      <w:marTop w:val="0"/>
      <w:marBottom w:val="0"/>
      <w:divBdr>
        <w:top w:val="none" w:sz="0" w:space="0" w:color="auto"/>
        <w:left w:val="none" w:sz="0" w:space="0" w:color="auto"/>
        <w:bottom w:val="none" w:sz="0" w:space="0" w:color="auto"/>
        <w:right w:val="none" w:sz="0" w:space="0" w:color="auto"/>
      </w:divBdr>
    </w:div>
    <w:div w:id="320933759">
      <w:bodyDiv w:val="1"/>
      <w:marLeft w:val="0"/>
      <w:marRight w:val="0"/>
      <w:marTop w:val="0"/>
      <w:marBottom w:val="0"/>
      <w:divBdr>
        <w:top w:val="none" w:sz="0" w:space="0" w:color="auto"/>
        <w:left w:val="none" w:sz="0" w:space="0" w:color="auto"/>
        <w:bottom w:val="none" w:sz="0" w:space="0" w:color="auto"/>
        <w:right w:val="none" w:sz="0" w:space="0" w:color="auto"/>
      </w:divBdr>
    </w:div>
    <w:div w:id="592668944">
      <w:bodyDiv w:val="1"/>
      <w:marLeft w:val="0"/>
      <w:marRight w:val="0"/>
      <w:marTop w:val="0"/>
      <w:marBottom w:val="0"/>
      <w:divBdr>
        <w:top w:val="none" w:sz="0" w:space="0" w:color="auto"/>
        <w:left w:val="none" w:sz="0" w:space="0" w:color="auto"/>
        <w:bottom w:val="none" w:sz="0" w:space="0" w:color="auto"/>
        <w:right w:val="none" w:sz="0" w:space="0" w:color="auto"/>
      </w:divBdr>
    </w:div>
    <w:div w:id="650644818">
      <w:bodyDiv w:val="1"/>
      <w:marLeft w:val="0"/>
      <w:marRight w:val="0"/>
      <w:marTop w:val="0"/>
      <w:marBottom w:val="0"/>
      <w:divBdr>
        <w:top w:val="none" w:sz="0" w:space="0" w:color="auto"/>
        <w:left w:val="none" w:sz="0" w:space="0" w:color="auto"/>
        <w:bottom w:val="none" w:sz="0" w:space="0" w:color="auto"/>
        <w:right w:val="none" w:sz="0" w:space="0" w:color="auto"/>
      </w:divBdr>
    </w:div>
    <w:div w:id="697505877">
      <w:bodyDiv w:val="1"/>
      <w:marLeft w:val="0"/>
      <w:marRight w:val="0"/>
      <w:marTop w:val="0"/>
      <w:marBottom w:val="0"/>
      <w:divBdr>
        <w:top w:val="none" w:sz="0" w:space="0" w:color="auto"/>
        <w:left w:val="none" w:sz="0" w:space="0" w:color="auto"/>
        <w:bottom w:val="none" w:sz="0" w:space="0" w:color="auto"/>
        <w:right w:val="none" w:sz="0" w:space="0" w:color="auto"/>
      </w:divBdr>
    </w:div>
    <w:div w:id="718213609">
      <w:bodyDiv w:val="1"/>
      <w:marLeft w:val="0"/>
      <w:marRight w:val="0"/>
      <w:marTop w:val="0"/>
      <w:marBottom w:val="0"/>
      <w:divBdr>
        <w:top w:val="none" w:sz="0" w:space="0" w:color="auto"/>
        <w:left w:val="none" w:sz="0" w:space="0" w:color="auto"/>
        <w:bottom w:val="none" w:sz="0" w:space="0" w:color="auto"/>
        <w:right w:val="none" w:sz="0" w:space="0" w:color="auto"/>
      </w:divBdr>
    </w:div>
    <w:div w:id="759303083">
      <w:bodyDiv w:val="1"/>
      <w:marLeft w:val="0"/>
      <w:marRight w:val="0"/>
      <w:marTop w:val="0"/>
      <w:marBottom w:val="0"/>
      <w:divBdr>
        <w:top w:val="none" w:sz="0" w:space="0" w:color="auto"/>
        <w:left w:val="none" w:sz="0" w:space="0" w:color="auto"/>
        <w:bottom w:val="none" w:sz="0" w:space="0" w:color="auto"/>
        <w:right w:val="none" w:sz="0" w:space="0" w:color="auto"/>
      </w:divBdr>
    </w:div>
    <w:div w:id="788158477">
      <w:bodyDiv w:val="1"/>
      <w:marLeft w:val="0"/>
      <w:marRight w:val="0"/>
      <w:marTop w:val="0"/>
      <w:marBottom w:val="0"/>
      <w:divBdr>
        <w:top w:val="none" w:sz="0" w:space="0" w:color="auto"/>
        <w:left w:val="none" w:sz="0" w:space="0" w:color="auto"/>
        <w:bottom w:val="none" w:sz="0" w:space="0" w:color="auto"/>
        <w:right w:val="none" w:sz="0" w:space="0" w:color="auto"/>
      </w:divBdr>
    </w:div>
    <w:div w:id="810902821">
      <w:bodyDiv w:val="1"/>
      <w:marLeft w:val="0"/>
      <w:marRight w:val="0"/>
      <w:marTop w:val="0"/>
      <w:marBottom w:val="0"/>
      <w:divBdr>
        <w:top w:val="none" w:sz="0" w:space="0" w:color="auto"/>
        <w:left w:val="none" w:sz="0" w:space="0" w:color="auto"/>
        <w:bottom w:val="none" w:sz="0" w:space="0" w:color="auto"/>
        <w:right w:val="none" w:sz="0" w:space="0" w:color="auto"/>
      </w:divBdr>
    </w:div>
    <w:div w:id="859466801">
      <w:bodyDiv w:val="1"/>
      <w:marLeft w:val="0"/>
      <w:marRight w:val="0"/>
      <w:marTop w:val="0"/>
      <w:marBottom w:val="0"/>
      <w:divBdr>
        <w:top w:val="none" w:sz="0" w:space="0" w:color="auto"/>
        <w:left w:val="none" w:sz="0" w:space="0" w:color="auto"/>
        <w:bottom w:val="none" w:sz="0" w:space="0" w:color="auto"/>
        <w:right w:val="none" w:sz="0" w:space="0" w:color="auto"/>
      </w:divBdr>
      <w:divsChild>
        <w:div w:id="1139691459">
          <w:marLeft w:val="0"/>
          <w:marRight w:val="0"/>
          <w:marTop w:val="0"/>
          <w:marBottom w:val="0"/>
          <w:divBdr>
            <w:top w:val="none" w:sz="0" w:space="0" w:color="auto"/>
            <w:left w:val="none" w:sz="0" w:space="0" w:color="auto"/>
            <w:bottom w:val="none" w:sz="0" w:space="0" w:color="auto"/>
            <w:right w:val="none" w:sz="0" w:space="0" w:color="auto"/>
          </w:divBdr>
        </w:div>
        <w:div w:id="1002706223">
          <w:marLeft w:val="0"/>
          <w:marRight w:val="0"/>
          <w:marTop w:val="0"/>
          <w:marBottom w:val="0"/>
          <w:divBdr>
            <w:top w:val="none" w:sz="0" w:space="0" w:color="auto"/>
            <w:left w:val="none" w:sz="0" w:space="0" w:color="auto"/>
            <w:bottom w:val="none" w:sz="0" w:space="0" w:color="auto"/>
            <w:right w:val="none" w:sz="0" w:space="0" w:color="auto"/>
          </w:divBdr>
        </w:div>
        <w:div w:id="1425304264">
          <w:marLeft w:val="0"/>
          <w:marRight w:val="0"/>
          <w:marTop w:val="0"/>
          <w:marBottom w:val="0"/>
          <w:divBdr>
            <w:top w:val="none" w:sz="0" w:space="0" w:color="auto"/>
            <w:left w:val="none" w:sz="0" w:space="0" w:color="auto"/>
            <w:bottom w:val="none" w:sz="0" w:space="0" w:color="auto"/>
            <w:right w:val="none" w:sz="0" w:space="0" w:color="auto"/>
          </w:divBdr>
        </w:div>
      </w:divsChild>
    </w:div>
    <w:div w:id="893585676">
      <w:bodyDiv w:val="1"/>
      <w:marLeft w:val="0"/>
      <w:marRight w:val="0"/>
      <w:marTop w:val="0"/>
      <w:marBottom w:val="0"/>
      <w:divBdr>
        <w:top w:val="none" w:sz="0" w:space="0" w:color="auto"/>
        <w:left w:val="none" w:sz="0" w:space="0" w:color="auto"/>
        <w:bottom w:val="none" w:sz="0" w:space="0" w:color="auto"/>
        <w:right w:val="none" w:sz="0" w:space="0" w:color="auto"/>
      </w:divBdr>
    </w:div>
    <w:div w:id="1117407157">
      <w:bodyDiv w:val="1"/>
      <w:marLeft w:val="0"/>
      <w:marRight w:val="0"/>
      <w:marTop w:val="0"/>
      <w:marBottom w:val="0"/>
      <w:divBdr>
        <w:top w:val="none" w:sz="0" w:space="0" w:color="auto"/>
        <w:left w:val="none" w:sz="0" w:space="0" w:color="auto"/>
        <w:bottom w:val="none" w:sz="0" w:space="0" w:color="auto"/>
        <w:right w:val="none" w:sz="0" w:space="0" w:color="auto"/>
      </w:divBdr>
      <w:divsChild>
        <w:div w:id="126054235">
          <w:marLeft w:val="0"/>
          <w:marRight w:val="0"/>
          <w:marTop w:val="0"/>
          <w:marBottom w:val="0"/>
          <w:divBdr>
            <w:top w:val="none" w:sz="0" w:space="0" w:color="auto"/>
            <w:left w:val="none" w:sz="0" w:space="0" w:color="auto"/>
            <w:bottom w:val="none" w:sz="0" w:space="0" w:color="auto"/>
            <w:right w:val="none" w:sz="0" w:space="0" w:color="auto"/>
          </w:divBdr>
        </w:div>
        <w:div w:id="71659769">
          <w:marLeft w:val="0"/>
          <w:marRight w:val="0"/>
          <w:marTop w:val="0"/>
          <w:marBottom w:val="0"/>
          <w:divBdr>
            <w:top w:val="none" w:sz="0" w:space="0" w:color="auto"/>
            <w:left w:val="none" w:sz="0" w:space="0" w:color="auto"/>
            <w:bottom w:val="none" w:sz="0" w:space="0" w:color="auto"/>
            <w:right w:val="none" w:sz="0" w:space="0" w:color="auto"/>
          </w:divBdr>
        </w:div>
        <w:div w:id="2073847130">
          <w:marLeft w:val="0"/>
          <w:marRight w:val="0"/>
          <w:marTop w:val="0"/>
          <w:marBottom w:val="0"/>
          <w:divBdr>
            <w:top w:val="none" w:sz="0" w:space="0" w:color="auto"/>
            <w:left w:val="none" w:sz="0" w:space="0" w:color="auto"/>
            <w:bottom w:val="none" w:sz="0" w:space="0" w:color="auto"/>
            <w:right w:val="none" w:sz="0" w:space="0" w:color="auto"/>
          </w:divBdr>
        </w:div>
      </w:divsChild>
    </w:div>
    <w:div w:id="1692761554">
      <w:bodyDiv w:val="1"/>
      <w:marLeft w:val="0"/>
      <w:marRight w:val="0"/>
      <w:marTop w:val="0"/>
      <w:marBottom w:val="0"/>
      <w:divBdr>
        <w:top w:val="none" w:sz="0" w:space="0" w:color="auto"/>
        <w:left w:val="none" w:sz="0" w:space="0" w:color="auto"/>
        <w:bottom w:val="none" w:sz="0" w:space="0" w:color="auto"/>
        <w:right w:val="none" w:sz="0" w:space="0" w:color="auto"/>
      </w:divBdr>
    </w:div>
    <w:div w:id="1741244185">
      <w:bodyDiv w:val="1"/>
      <w:marLeft w:val="0"/>
      <w:marRight w:val="0"/>
      <w:marTop w:val="0"/>
      <w:marBottom w:val="0"/>
      <w:divBdr>
        <w:top w:val="none" w:sz="0" w:space="0" w:color="auto"/>
        <w:left w:val="none" w:sz="0" w:space="0" w:color="auto"/>
        <w:bottom w:val="none" w:sz="0" w:space="0" w:color="auto"/>
        <w:right w:val="none" w:sz="0" w:space="0" w:color="auto"/>
      </w:divBdr>
    </w:div>
    <w:div w:id="1976909372">
      <w:bodyDiv w:val="1"/>
      <w:marLeft w:val="0"/>
      <w:marRight w:val="0"/>
      <w:marTop w:val="0"/>
      <w:marBottom w:val="0"/>
      <w:divBdr>
        <w:top w:val="none" w:sz="0" w:space="0" w:color="auto"/>
        <w:left w:val="none" w:sz="0" w:space="0" w:color="auto"/>
        <w:bottom w:val="none" w:sz="0" w:space="0" w:color="auto"/>
        <w:right w:val="none" w:sz="0" w:space="0" w:color="auto"/>
      </w:divBdr>
    </w:div>
    <w:div w:id="2086223377">
      <w:bodyDiv w:val="1"/>
      <w:marLeft w:val="0"/>
      <w:marRight w:val="0"/>
      <w:marTop w:val="0"/>
      <w:marBottom w:val="0"/>
      <w:divBdr>
        <w:top w:val="none" w:sz="0" w:space="0" w:color="auto"/>
        <w:left w:val="none" w:sz="0" w:space="0" w:color="auto"/>
        <w:bottom w:val="none" w:sz="0" w:space="0" w:color="auto"/>
        <w:right w:val="none" w:sz="0" w:space="0" w:color="auto"/>
      </w:divBdr>
    </w:div>
    <w:div w:id="210622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2016</Words>
  <Characters>13264</Characters>
  <Application>Microsoft Office Word</Application>
  <DocSecurity>0</DocSecurity>
  <Lines>110</Lines>
  <Paragraphs>30</Paragraphs>
  <ScaleCrop>false</ScaleCrop>
  <HeadingPairs>
    <vt:vector size="2" baseType="variant">
      <vt:variant>
        <vt:lpstr>Título</vt:lpstr>
      </vt:variant>
      <vt:variant>
        <vt:i4>1</vt:i4>
      </vt:variant>
    </vt:vector>
  </HeadingPairs>
  <TitlesOfParts>
    <vt:vector size="1" baseType="lpstr">
      <vt:lpstr>Of</vt:lpstr>
    </vt:vector>
  </TitlesOfParts>
  <Company>Prefeitura Bom Sucesso do Sul</Company>
  <LinksUpToDate>false</LinksUpToDate>
  <CharactersWithSpaces>15250</CharactersWithSpaces>
  <SharedDoc>false</SharedDoc>
  <HLinks>
    <vt:vector size="6" baseType="variant">
      <vt:variant>
        <vt:i4>5308422</vt:i4>
      </vt:variant>
      <vt:variant>
        <vt:i4>0</vt:i4>
      </vt:variant>
      <vt:variant>
        <vt:i4>0</vt:i4>
      </vt:variant>
      <vt:variant>
        <vt:i4>5</vt:i4>
      </vt:variant>
      <vt:variant>
        <vt:lpwstr>http://www.bomsucessodosul.pr.gov.br/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dc:title>
  <dc:subject/>
  <dc:creator>LIKAS</dc:creator>
  <cp:keywords/>
  <cp:lastModifiedBy>PM BSSUL</cp:lastModifiedBy>
  <cp:revision>2</cp:revision>
  <cp:lastPrinted>2026-04-09T14:18:00Z</cp:lastPrinted>
  <dcterms:created xsi:type="dcterms:W3CDTF">2026-04-09T14:54:00Z</dcterms:created>
  <dcterms:modified xsi:type="dcterms:W3CDTF">2026-04-09T14:54:00Z</dcterms:modified>
</cp:coreProperties>
</file>