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DE4A9" w14:textId="77777777" w:rsidR="00BA11EC" w:rsidRPr="00BA11EC" w:rsidRDefault="00BA11EC" w:rsidP="00BA11EC">
      <w:pPr>
        <w:pStyle w:val="Ttulo2"/>
        <w:jc w:val="center"/>
        <w:rPr>
          <w:b/>
          <w:bCs/>
          <w:color w:val="auto"/>
        </w:rPr>
      </w:pPr>
      <w:r w:rsidRPr="00BA11EC">
        <w:rPr>
          <w:b/>
          <w:bCs/>
          <w:color w:val="auto"/>
        </w:rPr>
        <w:t xml:space="preserve">Anexo </w:t>
      </w:r>
      <w:r w:rsidR="00D83819">
        <w:rPr>
          <w:b/>
          <w:bCs/>
          <w:color w:val="auto"/>
        </w:rPr>
        <w:t>1</w:t>
      </w:r>
      <w:r w:rsidRPr="00BA11EC">
        <w:rPr>
          <w:b/>
          <w:bCs/>
          <w:color w:val="auto"/>
        </w:rPr>
        <w:t xml:space="preserve"> – Planilha 5 – Requisitos do Módulo de Envio de Informações ao TCE\PR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82"/>
        <w:gridCol w:w="1577"/>
        <w:gridCol w:w="1496"/>
        <w:gridCol w:w="1481"/>
        <w:gridCol w:w="1320"/>
      </w:tblGrid>
      <w:tr w:rsidR="00BA11EC" w:rsidRPr="00BA11EC" w14:paraId="7634BAD8" w14:textId="77777777" w:rsidTr="00255902">
        <w:trPr>
          <w:trHeight w:val="300"/>
        </w:trPr>
        <w:tc>
          <w:tcPr>
            <w:tcW w:w="2235" w:type="pct"/>
            <w:vMerge w:val="restart"/>
            <w:vAlign w:val="center"/>
            <w:hideMark/>
          </w:tcPr>
          <w:p w14:paraId="4ADA098D"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Módulo de Envio de Informações ao TCE\PR</w:t>
            </w:r>
          </w:p>
        </w:tc>
        <w:tc>
          <w:tcPr>
            <w:tcW w:w="2765" w:type="pct"/>
            <w:gridSpan w:val="4"/>
            <w:noWrap/>
            <w:vAlign w:val="center"/>
            <w:hideMark/>
          </w:tcPr>
          <w:p w14:paraId="29AD3E1D"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Pontuação</w:t>
            </w:r>
          </w:p>
        </w:tc>
      </w:tr>
      <w:tr w:rsidR="00BA11EC" w:rsidRPr="00BA11EC" w14:paraId="3AF4A616" w14:textId="77777777" w:rsidTr="00255902">
        <w:trPr>
          <w:trHeight w:val="692"/>
        </w:trPr>
        <w:tc>
          <w:tcPr>
            <w:tcW w:w="2235" w:type="pct"/>
            <w:vMerge/>
            <w:vAlign w:val="center"/>
            <w:hideMark/>
          </w:tcPr>
          <w:p w14:paraId="5FF0E847" w14:textId="77777777" w:rsidR="00BA11EC" w:rsidRPr="00BA11EC" w:rsidRDefault="00BA11EC" w:rsidP="00BA11EC">
            <w:pPr>
              <w:spacing w:after="0" w:line="240" w:lineRule="auto"/>
              <w:rPr>
                <w:rFonts w:ascii="Calibri" w:eastAsia="Times New Roman" w:hAnsi="Calibri" w:cs="Calibri"/>
                <w:b/>
                <w:bCs/>
                <w:color w:val="000000"/>
                <w:kern w:val="0"/>
                <w:sz w:val="22"/>
                <w:szCs w:val="22"/>
                <w:lang w:eastAsia="pt-BR"/>
                <w14:ligatures w14:val="none"/>
              </w:rPr>
            </w:pPr>
          </w:p>
        </w:tc>
        <w:tc>
          <w:tcPr>
            <w:tcW w:w="711" w:type="pct"/>
            <w:noWrap/>
            <w:vAlign w:val="center"/>
            <w:hideMark/>
          </w:tcPr>
          <w:p w14:paraId="3C863C48" w14:textId="77777777" w:rsidR="00255902" w:rsidRDefault="00B7196B" w:rsidP="00B7196B">
            <w:pPr>
              <w:jc w:val="center"/>
              <w:rPr>
                <w:b/>
                <w:bCs/>
              </w:rPr>
            </w:pPr>
            <w:r w:rsidRPr="00B7196B">
              <w:rPr>
                <w:b/>
                <w:bCs/>
              </w:rPr>
              <w:t>Características</w:t>
            </w:r>
          </w:p>
          <w:p w14:paraId="380BD6B7" w14:textId="00FB1CA3" w:rsidR="0057516D" w:rsidRPr="00B7196B" w:rsidRDefault="00B7196B" w:rsidP="00B7196B">
            <w:pPr>
              <w:jc w:val="center"/>
              <w:rPr>
                <w:b/>
                <w:bCs/>
              </w:rPr>
            </w:pPr>
            <w:r w:rsidRPr="00B7196B">
              <w:rPr>
                <w:b/>
                <w:bCs/>
              </w:rPr>
              <w:t xml:space="preserve"> do Requisito</w:t>
            </w:r>
          </w:p>
        </w:tc>
        <w:tc>
          <w:tcPr>
            <w:tcW w:w="715" w:type="pct"/>
            <w:noWrap/>
            <w:vAlign w:val="center"/>
            <w:hideMark/>
          </w:tcPr>
          <w:p w14:paraId="39390C0A"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Obrigatório (3)</w:t>
            </w:r>
          </w:p>
        </w:tc>
        <w:tc>
          <w:tcPr>
            <w:tcW w:w="708" w:type="pct"/>
            <w:noWrap/>
            <w:vAlign w:val="center"/>
            <w:hideMark/>
          </w:tcPr>
          <w:p w14:paraId="5C8FA224"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Importante (2)</w:t>
            </w:r>
          </w:p>
        </w:tc>
        <w:tc>
          <w:tcPr>
            <w:tcW w:w="631" w:type="pct"/>
            <w:noWrap/>
            <w:vAlign w:val="center"/>
            <w:hideMark/>
          </w:tcPr>
          <w:p w14:paraId="0D4C1600"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Desejável (1)</w:t>
            </w:r>
          </w:p>
        </w:tc>
      </w:tr>
      <w:tr w:rsidR="00BA11EC" w:rsidRPr="00BA11EC" w14:paraId="15FB65AF" w14:textId="77777777" w:rsidTr="00255902">
        <w:trPr>
          <w:trHeight w:val="900"/>
        </w:trPr>
        <w:tc>
          <w:tcPr>
            <w:tcW w:w="2235" w:type="pct"/>
            <w:vAlign w:val="bottom"/>
            <w:hideMark/>
          </w:tcPr>
          <w:p w14:paraId="56947AA6"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Gerar arquivos para a Secretaria da Receita Previdenciária, conforme layout definido no Manual Normativo de Arquivos Digitais – MANAD.</w:t>
            </w:r>
          </w:p>
        </w:tc>
        <w:tc>
          <w:tcPr>
            <w:tcW w:w="711" w:type="pct"/>
            <w:vAlign w:val="bottom"/>
            <w:hideMark/>
          </w:tcPr>
          <w:p w14:paraId="19321849" w14:textId="77777777" w:rsidR="0057516D" w:rsidRDefault="00255902">
            <w:r>
              <w:t>Desejável (1)</w:t>
            </w:r>
          </w:p>
        </w:tc>
        <w:tc>
          <w:tcPr>
            <w:tcW w:w="715" w:type="pct"/>
            <w:noWrap/>
            <w:vAlign w:val="bottom"/>
            <w:hideMark/>
          </w:tcPr>
          <w:p w14:paraId="31DA642A"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2416937"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6E212C"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07B48BCB" w14:textId="77777777" w:rsidTr="00255902">
        <w:trPr>
          <w:trHeight w:val="600"/>
        </w:trPr>
        <w:tc>
          <w:tcPr>
            <w:tcW w:w="2235" w:type="pct"/>
            <w:vAlign w:val="bottom"/>
            <w:hideMark/>
          </w:tcPr>
          <w:p w14:paraId="6878B61A"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Gerar arquivos para prestação de contas aos Tribunais de Contas.</w:t>
            </w:r>
          </w:p>
        </w:tc>
        <w:tc>
          <w:tcPr>
            <w:tcW w:w="711" w:type="pct"/>
            <w:vAlign w:val="bottom"/>
            <w:hideMark/>
          </w:tcPr>
          <w:p w14:paraId="79EEE0E1" w14:textId="77777777" w:rsidR="0057516D" w:rsidRDefault="00255902">
            <w:r>
              <w:t>Obrigatório (3)</w:t>
            </w:r>
          </w:p>
        </w:tc>
        <w:tc>
          <w:tcPr>
            <w:tcW w:w="715" w:type="pct"/>
            <w:noWrap/>
            <w:vAlign w:val="bottom"/>
            <w:hideMark/>
          </w:tcPr>
          <w:p w14:paraId="5C3604FB"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1F6A0B18"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2385F8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14E7A89A" w14:textId="77777777" w:rsidTr="00255902">
        <w:trPr>
          <w:trHeight w:val="600"/>
        </w:trPr>
        <w:tc>
          <w:tcPr>
            <w:tcW w:w="2235" w:type="pct"/>
            <w:vAlign w:val="bottom"/>
            <w:hideMark/>
          </w:tcPr>
          <w:p w14:paraId="34639981"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Possuir integração com o sistema de Contabilidade Pública.</w:t>
            </w:r>
          </w:p>
        </w:tc>
        <w:tc>
          <w:tcPr>
            <w:tcW w:w="711" w:type="pct"/>
            <w:vAlign w:val="bottom"/>
            <w:hideMark/>
          </w:tcPr>
          <w:p w14:paraId="6C04AA86" w14:textId="77777777" w:rsidR="0057516D" w:rsidRDefault="00255902">
            <w:r>
              <w:t>Importante (2)</w:t>
            </w:r>
          </w:p>
        </w:tc>
        <w:tc>
          <w:tcPr>
            <w:tcW w:w="715" w:type="pct"/>
            <w:noWrap/>
            <w:vAlign w:val="bottom"/>
            <w:hideMark/>
          </w:tcPr>
          <w:p w14:paraId="0A0ECD85"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4EF1E16"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46229BB"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42BCC560" w14:textId="77777777" w:rsidTr="00255902">
        <w:trPr>
          <w:trHeight w:val="600"/>
        </w:trPr>
        <w:tc>
          <w:tcPr>
            <w:tcW w:w="2235" w:type="pct"/>
            <w:vAlign w:val="bottom"/>
            <w:hideMark/>
          </w:tcPr>
          <w:p w14:paraId="163BE23B"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uma forma para localizar e acessar todas as funcionalidades disponíveis no sistema.</w:t>
            </w:r>
          </w:p>
        </w:tc>
        <w:tc>
          <w:tcPr>
            <w:tcW w:w="711" w:type="pct"/>
            <w:vAlign w:val="bottom"/>
            <w:hideMark/>
          </w:tcPr>
          <w:p w14:paraId="1262B373" w14:textId="77777777" w:rsidR="0057516D" w:rsidRDefault="00255902">
            <w:r>
              <w:t>Desejável (1)</w:t>
            </w:r>
          </w:p>
        </w:tc>
        <w:tc>
          <w:tcPr>
            <w:tcW w:w="715" w:type="pct"/>
            <w:noWrap/>
            <w:vAlign w:val="bottom"/>
            <w:hideMark/>
          </w:tcPr>
          <w:p w14:paraId="6F8AF739"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13B4B9B"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AD04391"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02F8F943" w14:textId="77777777" w:rsidTr="00255902">
        <w:trPr>
          <w:trHeight w:val="901"/>
        </w:trPr>
        <w:tc>
          <w:tcPr>
            <w:tcW w:w="2235" w:type="pct"/>
            <w:vAlign w:val="bottom"/>
            <w:hideMark/>
          </w:tcPr>
          <w:p w14:paraId="5EECDA73"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Deverá englobar necessariamente consultas, relatórios e todas as funcionalidades de operação do sistema. Ao pesquisar uma funcionalidade deverá exibir como resultado o nome da funcionalidade e o caminho de sua localização.</w:t>
            </w:r>
          </w:p>
        </w:tc>
        <w:tc>
          <w:tcPr>
            <w:tcW w:w="711" w:type="pct"/>
            <w:vAlign w:val="bottom"/>
            <w:hideMark/>
          </w:tcPr>
          <w:p w14:paraId="3F85612B" w14:textId="77777777" w:rsidR="0057516D" w:rsidRDefault="00255902">
            <w:r>
              <w:t>Importante (2)</w:t>
            </w:r>
          </w:p>
        </w:tc>
        <w:tc>
          <w:tcPr>
            <w:tcW w:w="715" w:type="pct"/>
            <w:noWrap/>
            <w:vAlign w:val="bottom"/>
            <w:hideMark/>
          </w:tcPr>
          <w:p w14:paraId="7AED7DF8"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4067AA6"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079BE6FC"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2721BBD5" w14:textId="77777777" w:rsidTr="00255902">
        <w:trPr>
          <w:trHeight w:val="4650"/>
        </w:trPr>
        <w:tc>
          <w:tcPr>
            <w:tcW w:w="2235" w:type="pct"/>
            <w:vAlign w:val="bottom"/>
            <w:hideMark/>
          </w:tcPr>
          <w:p w14:paraId="247F3D28"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Possuir mecanismo que realiza comunicação com o ambiente nacional da EFD-REINF WebService para transmissão e processamento de retorno dos eventos de tabelas e periódicos. De modo que exista um cadastro específico para Certificado Digital, permitindo incluir e excluir, devendo ser composto por consulta da UG para informação (desde que a UG possua Cadastro do Contribuinte vigente), cadastro do tipo de outorgado com tipo da inscrição (CNPJ/CPF) e dígitos do CPF ou CNPJ, Cargo, informe o tipo de certificado A1, permitir buscar arquivo apenas no formato pfx do certificado digital na pasta do computador para seleção. Ainda no cadastro do certificado digital, deve existir campo com a informação da data de início e fim de validade do certificado, no formado DD/MM/AAAA apenas modo de exibição, preenchida de forma automática após a leitura do certificado. Deve possuir validação de forma que não permita cadastrar certificado vencido.</w:t>
            </w:r>
          </w:p>
        </w:tc>
        <w:tc>
          <w:tcPr>
            <w:tcW w:w="711" w:type="pct"/>
            <w:vAlign w:val="bottom"/>
            <w:hideMark/>
          </w:tcPr>
          <w:p w14:paraId="4059FBC1" w14:textId="77777777" w:rsidR="0057516D" w:rsidRDefault="00255902">
            <w:r>
              <w:t>Obrigatório (3)</w:t>
            </w:r>
          </w:p>
        </w:tc>
        <w:tc>
          <w:tcPr>
            <w:tcW w:w="715" w:type="pct"/>
            <w:noWrap/>
            <w:vAlign w:val="bottom"/>
            <w:hideMark/>
          </w:tcPr>
          <w:p w14:paraId="571BEBE3"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53535F5"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563F7AF"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6ECE2A4A" w14:textId="77777777" w:rsidTr="00255902">
        <w:trPr>
          <w:trHeight w:val="1800"/>
        </w:trPr>
        <w:tc>
          <w:tcPr>
            <w:tcW w:w="2235" w:type="pct"/>
            <w:vAlign w:val="bottom"/>
            <w:hideMark/>
          </w:tcPr>
          <w:p w14:paraId="542FAA40"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cadastro de Parâmetros de forma acessível com opção de informar a data MM/AAAA de início da obrigatoriedade da EFD-REINF, informação do tipo de Ambiente de Produção em que está trabalhando e campo para incluir a URLs disponibilizadas pela EFD-REINF de consulta e recepção dos eventos.</w:t>
            </w:r>
          </w:p>
        </w:tc>
        <w:tc>
          <w:tcPr>
            <w:tcW w:w="711" w:type="pct"/>
            <w:vAlign w:val="bottom"/>
            <w:hideMark/>
          </w:tcPr>
          <w:p w14:paraId="43A34B37" w14:textId="77777777" w:rsidR="0057516D" w:rsidRDefault="00255902">
            <w:r>
              <w:t>Obrigatório (3)</w:t>
            </w:r>
          </w:p>
        </w:tc>
        <w:tc>
          <w:tcPr>
            <w:tcW w:w="715" w:type="pct"/>
            <w:noWrap/>
            <w:vAlign w:val="bottom"/>
            <w:hideMark/>
          </w:tcPr>
          <w:p w14:paraId="6A896162"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369D5BA"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7E391456"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6BA372B9" w14:textId="77777777" w:rsidTr="00255902">
        <w:trPr>
          <w:trHeight w:val="2100"/>
        </w:trPr>
        <w:tc>
          <w:tcPr>
            <w:tcW w:w="2235" w:type="pct"/>
            <w:vAlign w:val="bottom"/>
            <w:hideMark/>
          </w:tcPr>
          <w:p w14:paraId="76394D3E"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lastRenderedPageBreak/>
              <w:t>Dispor de Painel para Validação e Transmissão da EFD-REINF por contribuinte REINF cadastrado de acordo com a sua forma de envio, se a forma de envio for como contribuinte único (prefeitura) uma ou mais unidades, os dados de cadastro e movimentações devem ser unificados, se na forma de individual, apenas uma única UG.</w:t>
            </w:r>
          </w:p>
        </w:tc>
        <w:tc>
          <w:tcPr>
            <w:tcW w:w="711" w:type="pct"/>
            <w:vAlign w:val="bottom"/>
            <w:hideMark/>
          </w:tcPr>
          <w:p w14:paraId="0F55472D" w14:textId="77777777" w:rsidR="0057516D" w:rsidRDefault="00255902">
            <w:r>
              <w:t>Obrigatório (3)</w:t>
            </w:r>
          </w:p>
        </w:tc>
        <w:tc>
          <w:tcPr>
            <w:tcW w:w="715" w:type="pct"/>
            <w:noWrap/>
            <w:vAlign w:val="bottom"/>
            <w:hideMark/>
          </w:tcPr>
          <w:p w14:paraId="5598425E"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D36F2C1"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00BB173"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7B589274" w14:textId="77777777" w:rsidTr="00255902">
        <w:trPr>
          <w:trHeight w:val="5100"/>
        </w:trPr>
        <w:tc>
          <w:tcPr>
            <w:tcW w:w="2235" w:type="pct"/>
            <w:vAlign w:val="bottom"/>
            <w:hideMark/>
          </w:tcPr>
          <w:p w14:paraId="78751D43"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Deve possuir as opções de validação, consulta do arquivo para envio, transmissão por evento e lote, exclusão por evento e lote, Processamento de Retorno de cada evento, consulta por competência, por tipo de evento de tabela e periódico, status (Pendente, Erro na Transmissão, Processado, Processando, Transmitido e retorno com erro), exclusão dos eventos, demonstrativo do fechamento por tipo de serviço e credor com CNPJ e descrição da razão social. Ainda para o painel deve possuir forma de listagem em tela por evento constatando a descrição de cada um, tipo do envio, data do evento, status, histórico de gravação das ações de cada evento com (data/hora, usuário, data do evento, competência, tipo, status, transmitido, retorno, recibo, mensagem de retorno da RFB), disponibilizando para consulta os arquivos no formato de XML em tela, de enviado a transmitido.</w:t>
            </w:r>
          </w:p>
        </w:tc>
        <w:tc>
          <w:tcPr>
            <w:tcW w:w="711" w:type="pct"/>
            <w:vAlign w:val="bottom"/>
            <w:hideMark/>
          </w:tcPr>
          <w:p w14:paraId="3FF08F7F" w14:textId="77777777" w:rsidR="0057516D" w:rsidRDefault="00255902">
            <w:r>
              <w:t>Obrigatório (3)</w:t>
            </w:r>
          </w:p>
        </w:tc>
        <w:tc>
          <w:tcPr>
            <w:tcW w:w="715" w:type="pct"/>
            <w:noWrap/>
            <w:vAlign w:val="bottom"/>
            <w:hideMark/>
          </w:tcPr>
          <w:p w14:paraId="0ABDD43B"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F838DC9"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4E33441"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4F8C9D5C" w14:textId="77777777" w:rsidTr="00255902">
        <w:trPr>
          <w:trHeight w:val="2286"/>
        </w:trPr>
        <w:tc>
          <w:tcPr>
            <w:tcW w:w="2235" w:type="pct"/>
            <w:vAlign w:val="bottom"/>
            <w:hideMark/>
          </w:tcPr>
          <w:p w14:paraId="0FF75B1D"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Permitir que no Painel de Validação e Transmissão para validação ocorra por evento de tabela e periódico individualmente, trazendo as possíveis pendências encontradas por falta de informação, dados errados e até mesmo ser validado com sucesso, de forma que mostre os dados de nº de empenho, nota fiscal e IG, data de processo, NFS/RPS cadastrada sem vínculo de retenção, se não foi realizado a devida retenção e documento de liquidação para o credor contribuinte do REINF.</w:t>
            </w:r>
          </w:p>
        </w:tc>
        <w:tc>
          <w:tcPr>
            <w:tcW w:w="711" w:type="pct"/>
            <w:vAlign w:val="bottom"/>
            <w:hideMark/>
          </w:tcPr>
          <w:p w14:paraId="1F6F1B76" w14:textId="77777777" w:rsidR="0057516D" w:rsidRDefault="00255902">
            <w:r>
              <w:t>Obrigatório (3)</w:t>
            </w:r>
          </w:p>
        </w:tc>
        <w:tc>
          <w:tcPr>
            <w:tcW w:w="715" w:type="pct"/>
            <w:noWrap/>
            <w:vAlign w:val="bottom"/>
            <w:hideMark/>
          </w:tcPr>
          <w:p w14:paraId="047D52FD"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56E57492"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3BB5FBE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51D82DF9" w14:textId="77777777" w:rsidTr="00255902">
        <w:trPr>
          <w:trHeight w:val="600"/>
        </w:trPr>
        <w:tc>
          <w:tcPr>
            <w:tcW w:w="2235" w:type="pct"/>
            <w:vAlign w:val="bottom"/>
            <w:hideMark/>
          </w:tcPr>
          <w:p w14:paraId="607DBC38"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na rotina de transmissão opção de marcar todos os eventos ou transmitir um por um.</w:t>
            </w:r>
          </w:p>
        </w:tc>
        <w:tc>
          <w:tcPr>
            <w:tcW w:w="711" w:type="pct"/>
            <w:vAlign w:val="bottom"/>
            <w:hideMark/>
          </w:tcPr>
          <w:p w14:paraId="52AA9C77" w14:textId="77777777" w:rsidR="0057516D" w:rsidRDefault="00255902">
            <w:r>
              <w:t>Desejável (1)</w:t>
            </w:r>
          </w:p>
        </w:tc>
        <w:tc>
          <w:tcPr>
            <w:tcW w:w="715" w:type="pct"/>
            <w:noWrap/>
            <w:vAlign w:val="bottom"/>
            <w:hideMark/>
          </w:tcPr>
          <w:p w14:paraId="76415F3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44EDAC19"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CF01811"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794777AE" w14:textId="77777777" w:rsidTr="00255902">
        <w:trPr>
          <w:trHeight w:val="5700"/>
        </w:trPr>
        <w:tc>
          <w:tcPr>
            <w:tcW w:w="2235" w:type="pct"/>
            <w:vAlign w:val="bottom"/>
            <w:hideMark/>
          </w:tcPr>
          <w:p w14:paraId="6D689593"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lastRenderedPageBreak/>
              <w:t>Possuir mecanismos que realizem comunicação com o ambiente nacional da EFD-REINF WebService para transmissão e processamento de retorno dos eventos de tabelas e periódicos. De modo que exista um cadastro específico para Certificado Digital, permitindo incluir e excluir, devendo ser composto por consulta da UG para informação (desde que a UG possua Cadastro do Contribuinte vigente), cadastro do tipo do outorgado com tipo da inscrição (CNPJ/CPF) e dígitos do CPF ou CNPJ, Cargo, informe do tipo de certificado A1, permitir buscar arquivo apenas no formato PFX do certificado digital na pasta do computador para seleção. Ainda no cadastro do certificado digital, deve existir campo com a informação data de início e fim de validade do certificado, no formato DD/MM/AAAA apenas modo de exibição, preenchida de forma automática após a leitura do certificado. Deve possuir validação de forma que não permita cadastrar certificado vencido.</w:t>
            </w:r>
          </w:p>
        </w:tc>
        <w:tc>
          <w:tcPr>
            <w:tcW w:w="711" w:type="pct"/>
            <w:vAlign w:val="bottom"/>
            <w:hideMark/>
          </w:tcPr>
          <w:p w14:paraId="603F2CB9" w14:textId="77777777" w:rsidR="0057516D" w:rsidRDefault="00255902">
            <w:r>
              <w:t>Obrigatório (3)</w:t>
            </w:r>
          </w:p>
        </w:tc>
        <w:tc>
          <w:tcPr>
            <w:tcW w:w="715" w:type="pct"/>
            <w:noWrap/>
            <w:vAlign w:val="bottom"/>
            <w:hideMark/>
          </w:tcPr>
          <w:p w14:paraId="72A3AD04"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C315D4E"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CD52DB6"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039E0875" w14:textId="77777777" w:rsidTr="00255902">
        <w:trPr>
          <w:trHeight w:val="1800"/>
        </w:trPr>
        <w:tc>
          <w:tcPr>
            <w:tcW w:w="2235" w:type="pct"/>
            <w:vAlign w:val="bottom"/>
            <w:hideMark/>
          </w:tcPr>
          <w:p w14:paraId="45C742E0"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cadastro de Parâmetros de forma acessível com opção de informar a data MM/AAAA e início da obrigatoriedade da EFD-REINF, informação do tipo de Ambiente de Produção em que está trabalhando e campo para incluir a usos disponibilizados pela EFD-REINF de consulta e recepção dos eventos.</w:t>
            </w:r>
          </w:p>
        </w:tc>
        <w:tc>
          <w:tcPr>
            <w:tcW w:w="711" w:type="pct"/>
            <w:vAlign w:val="bottom"/>
            <w:hideMark/>
          </w:tcPr>
          <w:p w14:paraId="085D5E2D" w14:textId="77777777" w:rsidR="0057516D" w:rsidRDefault="00255902">
            <w:r>
              <w:t>Obrigatório (3)</w:t>
            </w:r>
          </w:p>
        </w:tc>
        <w:tc>
          <w:tcPr>
            <w:tcW w:w="715" w:type="pct"/>
            <w:noWrap/>
            <w:vAlign w:val="bottom"/>
            <w:hideMark/>
          </w:tcPr>
          <w:p w14:paraId="00F28CD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7410BE55"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4162BA9E"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014DEC9C" w14:textId="77777777" w:rsidTr="00255902">
        <w:trPr>
          <w:trHeight w:val="8190"/>
        </w:trPr>
        <w:tc>
          <w:tcPr>
            <w:tcW w:w="2235" w:type="pct"/>
            <w:vAlign w:val="bottom"/>
            <w:hideMark/>
          </w:tcPr>
          <w:p w14:paraId="60B727CD"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lastRenderedPageBreak/>
              <w:t>Dispor de Painel para Validação e Transmissão dos eventos da EFD-REINF por contribuinte REINF cadastrado de acordo com a sua forma de envio, se a forma de envio for como contribuinte único (prefeitura) uma ou mais unidade, os dados de cadastros e movimentações devem ser unificados, se na forma de individual, apenas uma única UG. Deve possuir as opções de validação, consulta do arquivo para envio, transmissão por evento e lote, exclusão por evento e lote, Processamento de Retorno e cada evento, consulta por competência, por tipo de evento de tabela e periódico, status (Pendente, Erro na Transmissão, Processado, Processando, Transmitido e retorno com erro), exclusão dos eventos, demonstrativo do fechamento por tipo de serviço e credor com CNPJ e descrição da razão social. Ainda par ao painel deve possuir forma de listagem emt ela por evento constatando a descrição de cada um, tipo do envio, data do evento, status, histórico de gravação das ações de cada evento com (data/hora, usuário, data do evento, competência, tipo, status, transmitido, retorno, recibo, mensagem e retorno da RFB), disponibilizado para consulta os arquivos no formato de XML em tela, envidado e transmitido. Permitir que no Painel de Validação e Transmissão para validação ocorra por evento de tabela e periódico individualmente, trazendo as possíveis pendências encontradas por falta de informação, dados errados e até mesmo ser validado com sucesso, de forma que mostre os dados e nº de empenho, nota fiscal e UG, data de processo, NFS/RPS cadastrada sem vínculo de retenção, se não foi realizado a devida retenção e documento de liquidação para o credor contribuinte da REINF. Dispor de rotina de transmissão opção de marcar todos os eventos ou transmitir um por um.</w:t>
            </w:r>
          </w:p>
        </w:tc>
        <w:tc>
          <w:tcPr>
            <w:tcW w:w="711" w:type="pct"/>
            <w:vAlign w:val="bottom"/>
            <w:hideMark/>
          </w:tcPr>
          <w:p w14:paraId="6D7EBF42" w14:textId="77777777" w:rsidR="0057516D" w:rsidRDefault="00255902">
            <w:r>
              <w:t>Obrigatório (3)</w:t>
            </w:r>
          </w:p>
        </w:tc>
        <w:tc>
          <w:tcPr>
            <w:tcW w:w="715" w:type="pct"/>
            <w:noWrap/>
            <w:vAlign w:val="bottom"/>
            <w:hideMark/>
          </w:tcPr>
          <w:p w14:paraId="327C345F"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61F201D8"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C3D937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176E36E2" w14:textId="77777777" w:rsidTr="00255902">
        <w:trPr>
          <w:trHeight w:val="900"/>
        </w:trPr>
        <w:tc>
          <w:tcPr>
            <w:tcW w:w="2235" w:type="pct"/>
            <w:vAlign w:val="bottom"/>
            <w:hideMark/>
          </w:tcPr>
          <w:p w14:paraId="257AC3A3"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mecanismo que permita realizar a autenticação do usuário ao logar no sistema pelo CPF, conforme o Decreto Nº 10.540 do SIAFIC.</w:t>
            </w:r>
          </w:p>
        </w:tc>
        <w:tc>
          <w:tcPr>
            <w:tcW w:w="711" w:type="pct"/>
            <w:vAlign w:val="bottom"/>
            <w:hideMark/>
          </w:tcPr>
          <w:p w14:paraId="71B00913" w14:textId="77777777" w:rsidR="0057516D" w:rsidRDefault="00255902">
            <w:r>
              <w:t>Obrigatório (3)</w:t>
            </w:r>
          </w:p>
        </w:tc>
        <w:tc>
          <w:tcPr>
            <w:tcW w:w="715" w:type="pct"/>
            <w:noWrap/>
            <w:vAlign w:val="bottom"/>
            <w:hideMark/>
          </w:tcPr>
          <w:p w14:paraId="09590079"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3673E6AB"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1764F741"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6299D6D3" w14:textId="77777777" w:rsidTr="00255902">
        <w:trPr>
          <w:trHeight w:val="1500"/>
        </w:trPr>
        <w:tc>
          <w:tcPr>
            <w:tcW w:w="2235" w:type="pct"/>
            <w:vAlign w:val="bottom"/>
            <w:hideMark/>
          </w:tcPr>
          <w:p w14:paraId="7A3C2D67"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mecanismo que permita definir um usuário autorizador que libere o acesso dos outros usuários ao sistema. Dispor de mecanismo que permita anexar o termo de responsabilidade de acesso ao sistema por usuário, conforme o Decreto Nº 10.540 do SIAFIC.</w:t>
            </w:r>
          </w:p>
        </w:tc>
        <w:tc>
          <w:tcPr>
            <w:tcW w:w="711" w:type="pct"/>
            <w:vAlign w:val="bottom"/>
            <w:hideMark/>
          </w:tcPr>
          <w:p w14:paraId="71A6B62F" w14:textId="77777777" w:rsidR="0057516D" w:rsidRDefault="00255902">
            <w:r>
              <w:t>Obrigatório (3)</w:t>
            </w:r>
          </w:p>
        </w:tc>
        <w:tc>
          <w:tcPr>
            <w:tcW w:w="715" w:type="pct"/>
            <w:noWrap/>
            <w:vAlign w:val="bottom"/>
            <w:hideMark/>
          </w:tcPr>
          <w:p w14:paraId="23A82D53"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5DF938F"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6D2C9695"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6B29EEB8" w14:textId="77777777" w:rsidTr="00255902">
        <w:trPr>
          <w:trHeight w:val="900"/>
        </w:trPr>
        <w:tc>
          <w:tcPr>
            <w:tcW w:w="2235" w:type="pct"/>
            <w:vAlign w:val="bottom"/>
            <w:hideMark/>
          </w:tcPr>
          <w:p w14:paraId="42D350DE"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mecanismo que permita consultar o número do documento (CPF/CNPJ) gerado no arquivo Pessoa AM, possibilitando rastrear a origem da informação.</w:t>
            </w:r>
          </w:p>
        </w:tc>
        <w:tc>
          <w:tcPr>
            <w:tcW w:w="711" w:type="pct"/>
            <w:vAlign w:val="bottom"/>
            <w:hideMark/>
          </w:tcPr>
          <w:p w14:paraId="3FD223EC" w14:textId="77777777" w:rsidR="0057516D" w:rsidRDefault="00255902">
            <w:r>
              <w:t>Importante (2)</w:t>
            </w:r>
          </w:p>
        </w:tc>
        <w:tc>
          <w:tcPr>
            <w:tcW w:w="715" w:type="pct"/>
            <w:noWrap/>
            <w:vAlign w:val="bottom"/>
            <w:hideMark/>
          </w:tcPr>
          <w:p w14:paraId="7BB8F55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01A80370"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25989F74"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5D2E3E4D" w14:textId="77777777" w:rsidTr="00255902">
        <w:trPr>
          <w:trHeight w:val="900"/>
        </w:trPr>
        <w:tc>
          <w:tcPr>
            <w:tcW w:w="2235" w:type="pct"/>
            <w:vAlign w:val="bottom"/>
            <w:hideMark/>
          </w:tcPr>
          <w:p w14:paraId="42B7FC6C" w14:textId="77777777" w:rsidR="00BA11EC" w:rsidRPr="00BA11EC" w:rsidRDefault="00BA11EC" w:rsidP="00255902">
            <w:pPr>
              <w:spacing w:after="0" w:line="240" w:lineRule="auto"/>
              <w:jc w:val="both"/>
              <w:rPr>
                <w:rFonts w:ascii="Calibri" w:eastAsia="Times New Roman" w:hAnsi="Calibri" w:cs="Calibri"/>
                <w:color w:val="000000"/>
                <w:kern w:val="0"/>
                <w:sz w:val="22"/>
                <w:szCs w:val="22"/>
                <w:lang w:eastAsia="pt-BR"/>
                <w14:ligatures w14:val="none"/>
              </w:rPr>
            </w:pPr>
            <w:r w:rsidRPr="00BA11EC">
              <w:rPr>
                <w:rFonts w:ascii="Calibri" w:eastAsia="Times New Roman" w:hAnsi="Calibri" w:cs="Calibri"/>
                <w:color w:val="000000"/>
                <w:kern w:val="0"/>
                <w:sz w:val="22"/>
                <w:szCs w:val="22"/>
                <w:lang w:eastAsia="pt-BR"/>
                <w14:ligatures w14:val="none"/>
              </w:rPr>
              <w:t>Dispor de mecanismo que permita gerar o arquivo Lei Ato para prestação de contas ao SIM-AM, unificando as informações de todos os setores em um único arquivo.</w:t>
            </w:r>
          </w:p>
        </w:tc>
        <w:tc>
          <w:tcPr>
            <w:tcW w:w="711" w:type="pct"/>
            <w:vAlign w:val="bottom"/>
            <w:hideMark/>
          </w:tcPr>
          <w:p w14:paraId="275B88F0" w14:textId="77777777" w:rsidR="0057516D" w:rsidRDefault="00255902">
            <w:r>
              <w:t>Obrigatório (3)</w:t>
            </w:r>
          </w:p>
        </w:tc>
        <w:tc>
          <w:tcPr>
            <w:tcW w:w="715" w:type="pct"/>
            <w:noWrap/>
            <w:vAlign w:val="bottom"/>
            <w:hideMark/>
          </w:tcPr>
          <w:p w14:paraId="7DA12086"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708" w:type="pct"/>
            <w:noWrap/>
            <w:vAlign w:val="bottom"/>
            <w:hideMark/>
          </w:tcPr>
          <w:p w14:paraId="29699D82"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c>
          <w:tcPr>
            <w:tcW w:w="631" w:type="pct"/>
            <w:noWrap/>
            <w:vAlign w:val="bottom"/>
            <w:hideMark/>
          </w:tcPr>
          <w:p w14:paraId="53CC3C32" w14:textId="77777777" w:rsidR="00BA11EC" w:rsidRPr="00BA11EC" w:rsidRDefault="00BA11EC" w:rsidP="00BA11EC">
            <w:pPr>
              <w:spacing w:after="0" w:line="240" w:lineRule="auto"/>
              <w:rPr>
                <w:rFonts w:ascii="Times New Roman" w:eastAsia="Times New Roman" w:hAnsi="Times New Roman" w:cs="Times New Roman"/>
                <w:kern w:val="0"/>
                <w:sz w:val="20"/>
                <w:szCs w:val="20"/>
                <w:lang w:eastAsia="pt-BR"/>
                <w14:ligatures w14:val="none"/>
              </w:rPr>
            </w:pPr>
          </w:p>
        </w:tc>
      </w:tr>
      <w:tr w:rsidR="00BA11EC" w:rsidRPr="00BA11EC" w14:paraId="72A9AECA" w14:textId="77777777" w:rsidTr="00255902">
        <w:trPr>
          <w:trHeight w:val="300"/>
        </w:trPr>
        <w:tc>
          <w:tcPr>
            <w:tcW w:w="2235" w:type="pct"/>
            <w:vAlign w:val="center"/>
            <w:hideMark/>
          </w:tcPr>
          <w:p w14:paraId="5218FEA4" w14:textId="77777777" w:rsidR="00BA11EC" w:rsidRPr="00BA11EC" w:rsidRDefault="00BA11EC" w:rsidP="00BA11EC">
            <w:pPr>
              <w:spacing w:after="0" w:line="240" w:lineRule="auto"/>
              <w:jc w:val="center"/>
              <w:rPr>
                <w:rFonts w:ascii="Calibri" w:eastAsia="Times New Roman" w:hAnsi="Calibri" w:cs="Calibri"/>
                <w:b/>
                <w:bCs/>
                <w:color w:val="000000"/>
                <w:kern w:val="0"/>
                <w:sz w:val="22"/>
                <w:szCs w:val="22"/>
                <w:lang w:eastAsia="pt-BR"/>
                <w14:ligatures w14:val="none"/>
              </w:rPr>
            </w:pPr>
            <w:r w:rsidRPr="00BA11EC">
              <w:rPr>
                <w:rFonts w:ascii="Calibri" w:eastAsia="Times New Roman" w:hAnsi="Calibri" w:cs="Calibri"/>
                <w:b/>
                <w:bCs/>
                <w:color w:val="000000"/>
                <w:kern w:val="0"/>
                <w:sz w:val="22"/>
                <w:szCs w:val="22"/>
                <w:lang w:eastAsia="pt-BR"/>
                <w14:ligatures w14:val="none"/>
              </w:rPr>
              <w:t>Total de Pontos do Módulo</w:t>
            </w:r>
          </w:p>
        </w:tc>
        <w:tc>
          <w:tcPr>
            <w:tcW w:w="2765" w:type="pct"/>
            <w:gridSpan w:val="4"/>
            <w:vAlign w:val="center"/>
            <w:hideMark/>
          </w:tcPr>
          <w:p w14:paraId="23EDBE49" w14:textId="35517372" w:rsidR="0057516D" w:rsidRDefault="0057516D"/>
        </w:tc>
      </w:tr>
    </w:tbl>
    <w:p w14:paraId="72A36507" w14:textId="77777777" w:rsidR="00B51C11" w:rsidRDefault="00B51C11" w:rsidP="00255902"/>
    <w:sectPr w:rsidR="00B51C11" w:rsidSect="00BA11E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EC"/>
    <w:rsid w:val="000A7DD1"/>
    <w:rsid w:val="00255902"/>
    <w:rsid w:val="0057516D"/>
    <w:rsid w:val="00623AB0"/>
    <w:rsid w:val="00644B4F"/>
    <w:rsid w:val="00A56F65"/>
    <w:rsid w:val="00B51C11"/>
    <w:rsid w:val="00B7196B"/>
    <w:rsid w:val="00BA11EC"/>
    <w:rsid w:val="00C03979"/>
    <w:rsid w:val="00C23023"/>
    <w:rsid w:val="00D83819"/>
    <w:rsid w:val="00DC03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769E2"/>
  <w15:chartTrackingRefBased/>
  <w15:docId w15:val="{0FF55B0E-9D3F-4227-93F6-9F1036312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A11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BA11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A11E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A11E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A11E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A11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A11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A11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A11E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11E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rsid w:val="00BA11E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A11E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A11E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A11E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A11E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11E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11E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11EC"/>
    <w:rPr>
      <w:rFonts w:eastAsiaTheme="majorEastAsia" w:cstheme="majorBidi"/>
      <w:color w:val="272727" w:themeColor="text1" w:themeTint="D8"/>
    </w:rPr>
  </w:style>
  <w:style w:type="paragraph" w:styleId="Ttulo">
    <w:name w:val="Title"/>
    <w:basedOn w:val="Normal"/>
    <w:next w:val="Normal"/>
    <w:link w:val="TtuloChar"/>
    <w:uiPriority w:val="10"/>
    <w:qFormat/>
    <w:rsid w:val="00BA1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A11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11E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A11E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11EC"/>
    <w:pPr>
      <w:spacing w:before="160"/>
      <w:jc w:val="center"/>
    </w:pPr>
    <w:rPr>
      <w:i/>
      <w:iCs/>
      <w:color w:val="404040" w:themeColor="text1" w:themeTint="BF"/>
    </w:rPr>
  </w:style>
  <w:style w:type="character" w:customStyle="1" w:styleId="CitaoChar">
    <w:name w:val="Citação Char"/>
    <w:basedOn w:val="Fontepargpadro"/>
    <w:link w:val="Citao"/>
    <w:uiPriority w:val="29"/>
    <w:rsid w:val="00BA11EC"/>
    <w:rPr>
      <w:i/>
      <w:iCs/>
      <w:color w:val="404040" w:themeColor="text1" w:themeTint="BF"/>
    </w:rPr>
  </w:style>
  <w:style w:type="paragraph" w:styleId="PargrafodaLista">
    <w:name w:val="List Paragraph"/>
    <w:basedOn w:val="Normal"/>
    <w:uiPriority w:val="34"/>
    <w:qFormat/>
    <w:rsid w:val="00BA11EC"/>
    <w:pPr>
      <w:ind w:left="720"/>
      <w:contextualSpacing/>
    </w:pPr>
  </w:style>
  <w:style w:type="character" w:styleId="nfaseIntensa">
    <w:name w:val="Intense Emphasis"/>
    <w:basedOn w:val="Fontepargpadro"/>
    <w:uiPriority w:val="21"/>
    <w:qFormat/>
    <w:rsid w:val="00BA11EC"/>
    <w:rPr>
      <w:i/>
      <w:iCs/>
      <w:color w:val="2F5496" w:themeColor="accent1" w:themeShade="BF"/>
    </w:rPr>
  </w:style>
  <w:style w:type="paragraph" w:styleId="CitaoIntensa">
    <w:name w:val="Intense Quote"/>
    <w:basedOn w:val="Normal"/>
    <w:next w:val="Normal"/>
    <w:link w:val="CitaoIntensaChar"/>
    <w:uiPriority w:val="30"/>
    <w:qFormat/>
    <w:rsid w:val="00BA1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A11EC"/>
    <w:rPr>
      <w:i/>
      <w:iCs/>
      <w:color w:val="2F5496" w:themeColor="accent1" w:themeShade="BF"/>
    </w:rPr>
  </w:style>
  <w:style w:type="character" w:styleId="RefernciaIntensa">
    <w:name w:val="Intense Reference"/>
    <w:basedOn w:val="Fontepargpadro"/>
    <w:uiPriority w:val="32"/>
    <w:qFormat/>
    <w:rsid w:val="00BA1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1223</Words>
  <Characters>6609</Characters>
  <Application>Microsoft Office Word</Application>
  <DocSecurity>0</DocSecurity>
  <Lines>55</Lines>
  <Paragraphs>15</Paragraphs>
  <ScaleCrop>false</ScaleCrop>
  <Company/>
  <LinksUpToDate>false</LinksUpToDate>
  <CharactersWithSpaces>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Portal da Transparencia</dc:creator>
  <cp:keywords/>
  <dc:description/>
  <cp:lastModifiedBy>Josi</cp:lastModifiedBy>
  <cp:revision>2</cp:revision>
  <cp:lastPrinted>2026-05-20T14:05:00Z</cp:lastPrinted>
  <dcterms:created xsi:type="dcterms:W3CDTF">2026-05-20T14:05:00Z</dcterms:created>
  <dcterms:modified xsi:type="dcterms:W3CDTF">2026-05-20T14:05:00Z</dcterms:modified>
</cp:coreProperties>
</file>