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4159" w14:textId="77777777" w:rsidR="0059479E" w:rsidRPr="0059479E" w:rsidRDefault="0059479E" w:rsidP="0059479E">
      <w:pPr>
        <w:pStyle w:val="Ttulo2"/>
        <w:jc w:val="center"/>
        <w:rPr>
          <w:b/>
          <w:bCs/>
          <w:color w:val="auto"/>
        </w:rPr>
      </w:pPr>
      <w:r w:rsidRPr="0059479E">
        <w:rPr>
          <w:b/>
          <w:bCs/>
          <w:color w:val="auto"/>
        </w:rPr>
        <w:t>Anexo 1 – Planilha 9 – Requisitos Módulo de Gestão de Patrimônio Público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628"/>
        <w:gridCol w:w="1496"/>
        <w:gridCol w:w="1481"/>
        <w:gridCol w:w="1320"/>
      </w:tblGrid>
      <w:tr w:rsidR="0059479E" w:rsidRPr="0059479E" w14:paraId="20485145" w14:textId="77777777" w:rsidTr="00D638BE">
        <w:trPr>
          <w:trHeight w:val="300"/>
        </w:trPr>
        <w:tc>
          <w:tcPr>
            <w:tcW w:w="2167" w:type="pct"/>
            <w:vMerge w:val="restart"/>
            <w:vAlign w:val="center"/>
            <w:hideMark/>
          </w:tcPr>
          <w:p w14:paraId="2E3FD4D1" w14:textId="77777777" w:rsidR="0059479E" w:rsidRPr="0059479E" w:rsidRDefault="0059479E" w:rsidP="0059479E">
            <w:pPr>
              <w:spacing w:after="0" w:line="240" w:lineRule="auto"/>
              <w:jc w:val="center"/>
              <w:rPr>
                <w:rFonts w:ascii="Calibri" w:eastAsia="Times New Roman" w:hAnsi="Calibri" w:cs="Calibri"/>
                <w:b/>
                <w:bCs/>
                <w:color w:val="000000"/>
                <w:kern w:val="0"/>
                <w:sz w:val="22"/>
                <w:szCs w:val="22"/>
                <w:lang w:eastAsia="pt-BR"/>
                <w14:ligatures w14:val="none"/>
              </w:rPr>
            </w:pPr>
            <w:r w:rsidRPr="0059479E">
              <w:rPr>
                <w:rFonts w:ascii="Calibri" w:eastAsia="Times New Roman" w:hAnsi="Calibri" w:cs="Calibri"/>
                <w:b/>
                <w:bCs/>
                <w:color w:val="000000"/>
                <w:kern w:val="0"/>
                <w:sz w:val="22"/>
                <w:szCs w:val="22"/>
                <w:lang w:eastAsia="pt-BR"/>
                <w14:ligatures w14:val="none"/>
              </w:rPr>
              <w:t>Módulo de Gestão de Patrimônio Público</w:t>
            </w:r>
          </w:p>
        </w:tc>
        <w:tc>
          <w:tcPr>
            <w:tcW w:w="2833" w:type="pct"/>
            <w:gridSpan w:val="4"/>
            <w:noWrap/>
            <w:vAlign w:val="center"/>
            <w:hideMark/>
          </w:tcPr>
          <w:p w14:paraId="61D41577" w14:textId="77777777" w:rsidR="0059479E" w:rsidRPr="0059479E" w:rsidRDefault="0059479E" w:rsidP="0059479E">
            <w:pPr>
              <w:spacing w:after="0" w:line="240" w:lineRule="auto"/>
              <w:jc w:val="center"/>
              <w:rPr>
                <w:rFonts w:ascii="Calibri" w:eastAsia="Times New Roman" w:hAnsi="Calibri" w:cs="Calibri"/>
                <w:b/>
                <w:bCs/>
                <w:color w:val="000000"/>
                <w:kern w:val="0"/>
                <w:sz w:val="22"/>
                <w:szCs w:val="22"/>
                <w:lang w:eastAsia="pt-BR"/>
                <w14:ligatures w14:val="none"/>
              </w:rPr>
            </w:pPr>
            <w:r w:rsidRPr="0059479E">
              <w:rPr>
                <w:rFonts w:ascii="Calibri" w:eastAsia="Times New Roman" w:hAnsi="Calibri" w:cs="Calibri"/>
                <w:b/>
                <w:bCs/>
                <w:color w:val="000000"/>
                <w:kern w:val="0"/>
                <w:sz w:val="22"/>
                <w:szCs w:val="22"/>
                <w:lang w:eastAsia="pt-BR"/>
                <w14:ligatures w14:val="none"/>
              </w:rPr>
              <w:t>Pontuação</w:t>
            </w:r>
          </w:p>
        </w:tc>
      </w:tr>
      <w:tr w:rsidR="0059479E" w:rsidRPr="0059479E" w14:paraId="3697937B" w14:textId="77777777" w:rsidTr="00D638BE">
        <w:trPr>
          <w:trHeight w:val="300"/>
        </w:trPr>
        <w:tc>
          <w:tcPr>
            <w:tcW w:w="2167" w:type="pct"/>
            <w:vMerge/>
            <w:vAlign w:val="center"/>
            <w:hideMark/>
          </w:tcPr>
          <w:p w14:paraId="11629225" w14:textId="77777777" w:rsidR="0059479E" w:rsidRPr="0059479E" w:rsidRDefault="0059479E" w:rsidP="0059479E">
            <w:pPr>
              <w:spacing w:after="0" w:line="240" w:lineRule="auto"/>
              <w:rPr>
                <w:rFonts w:ascii="Calibri" w:eastAsia="Times New Roman" w:hAnsi="Calibri" w:cs="Calibri"/>
                <w:b/>
                <w:bCs/>
                <w:color w:val="000000"/>
                <w:kern w:val="0"/>
                <w:sz w:val="22"/>
                <w:szCs w:val="22"/>
                <w:lang w:eastAsia="pt-BR"/>
                <w14:ligatures w14:val="none"/>
              </w:rPr>
            </w:pPr>
          </w:p>
        </w:tc>
        <w:tc>
          <w:tcPr>
            <w:tcW w:w="779" w:type="pct"/>
            <w:noWrap/>
            <w:vAlign w:val="center"/>
            <w:hideMark/>
          </w:tcPr>
          <w:p w14:paraId="6142A31F" w14:textId="77777777" w:rsidR="00D638BE" w:rsidRDefault="005D71D0" w:rsidP="005D71D0">
            <w:pPr>
              <w:jc w:val="center"/>
              <w:rPr>
                <w:b/>
                <w:bCs/>
              </w:rPr>
            </w:pPr>
            <w:r w:rsidRPr="005D71D0">
              <w:rPr>
                <w:b/>
                <w:bCs/>
              </w:rPr>
              <w:t xml:space="preserve">Características </w:t>
            </w:r>
          </w:p>
          <w:p w14:paraId="0D8D5343" w14:textId="2C15F41C" w:rsidR="0086550D" w:rsidRPr="005D71D0" w:rsidRDefault="005D71D0" w:rsidP="005D71D0">
            <w:pPr>
              <w:jc w:val="center"/>
              <w:rPr>
                <w:b/>
                <w:bCs/>
              </w:rPr>
            </w:pPr>
            <w:r w:rsidRPr="005D71D0">
              <w:rPr>
                <w:b/>
                <w:bCs/>
              </w:rPr>
              <w:t>do Requisito</w:t>
            </w:r>
          </w:p>
        </w:tc>
        <w:tc>
          <w:tcPr>
            <w:tcW w:w="715" w:type="pct"/>
            <w:noWrap/>
            <w:vAlign w:val="center"/>
            <w:hideMark/>
          </w:tcPr>
          <w:p w14:paraId="01BFDF33" w14:textId="77777777" w:rsidR="0059479E" w:rsidRPr="0059479E" w:rsidRDefault="0059479E" w:rsidP="0059479E">
            <w:pPr>
              <w:spacing w:after="0" w:line="240" w:lineRule="auto"/>
              <w:jc w:val="center"/>
              <w:rPr>
                <w:rFonts w:ascii="Calibri" w:eastAsia="Times New Roman" w:hAnsi="Calibri" w:cs="Calibri"/>
                <w:b/>
                <w:bCs/>
                <w:color w:val="000000"/>
                <w:kern w:val="0"/>
                <w:sz w:val="22"/>
                <w:szCs w:val="22"/>
                <w:lang w:eastAsia="pt-BR"/>
                <w14:ligatures w14:val="none"/>
              </w:rPr>
            </w:pPr>
            <w:r w:rsidRPr="0059479E">
              <w:rPr>
                <w:rFonts w:ascii="Calibri" w:eastAsia="Times New Roman" w:hAnsi="Calibri" w:cs="Calibri"/>
                <w:b/>
                <w:bCs/>
                <w:color w:val="000000"/>
                <w:kern w:val="0"/>
                <w:sz w:val="22"/>
                <w:szCs w:val="22"/>
                <w:lang w:eastAsia="pt-BR"/>
                <w14:ligatures w14:val="none"/>
              </w:rPr>
              <w:t>Obrigatório (3)</w:t>
            </w:r>
          </w:p>
        </w:tc>
        <w:tc>
          <w:tcPr>
            <w:tcW w:w="708" w:type="pct"/>
            <w:noWrap/>
            <w:vAlign w:val="center"/>
            <w:hideMark/>
          </w:tcPr>
          <w:p w14:paraId="38E2614C" w14:textId="77777777" w:rsidR="0059479E" w:rsidRPr="0059479E" w:rsidRDefault="0059479E" w:rsidP="0059479E">
            <w:pPr>
              <w:spacing w:after="0" w:line="240" w:lineRule="auto"/>
              <w:jc w:val="center"/>
              <w:rPr>
                <w:rFonts w:ascii="Calibri" w:eastAsia="Times New Roman" w:hAnsi="Calibri" w:cs="Calibri"/>
                <w:b/>
                <w:bCs/>
                <w:color w:val="000000"/>
                <w:kern w:val="0"/>
                <w:sz w:val="22"/>
                <w:szCs w:val="22"/>
                <w:lang w:eastAsia="pt-BR"/>
                <w14:ligatures w14:val="none"/>
              </w:rPr>
            </w:pPr>
            <w:r w:rsidRPr="0059479E">
              <w:rPr>
                <w:rFonts w:ascii="Calibri" w:eastAsia="Times New Roman" w:hAnsi="Calibri" w:cs="Calibri"/>
                <w:b/>
                <w:bCs/>
                <w:color w:val="000000"/>
                <w:kern w:val="0"/>
                <w:sz w:val="22"/>
                <w:szCs w:val="22"/>
                <w:lang w:eastAsia="pt-BR"/>
                <w14:ligatures w14:val="none"/>
              </w:rPr>
              <w:t>Importante (2)</w:t>
            </w:r>
          </w:p>
        </w:tc>
        <w:tc>
          <w:tcPr>
            <w:tcW w:w="631" w:type="pct"/>
            <w:noWrap/>
            <w:vAlign w:val="center"/>
            <w:hideMark/>
          </w:tcPr>
          <w:p w14:paraId="5FBB7C2C" w14:textId="77777777" w:rsidR="0059479E" w:rsidRPr="0059479E" w:rsidRDefault="0059479E" w:rsidP="0059479E">
            <w:pPr>
              <w:spacing w:after="0" w:line="240" w:lineRule="auto"/>
              <w:jc w:val="center"/>
              <w:rPr>
                <w:rFonts w:ascii="Calibri" w:eastAsia="Times New Roman" w:hAnsi="Calibri" w:cs="Calibri"/>
                <w:b/>
                <w:bCs/>
                <w:color w:val="000000"/>
                <w:kern w:val="0"/>
                <w:sz w:val="22"/>
                <w:szCs w:val="22"/>
                <w:lang w:eastAsia="pt-BR"/>
                <w14:ligatures w14:val="none"/>
              </w:rPr>
            </w:pPr>
            <w:r w:rsidRPr="0059479E">
              <w:rPr>
                <w:rFonts w:ascii="Calibri" w:eastAsia="Times New Roman" w:hAnsi="Calibri" w:cs="Calibri"/>
                <w:b/>
                <w:bCs/>
                <w:color w:val="000000"/>
                <w:kern w:val="0"/>
                <w:sz w:val="22"/>
                <w:szCs w:val="22"/>
                <w:lang w:eastAsia="pt-BR"/>
                <w14:ligatures w14:val="none"/>
              </w:rPr>
              <w:t>Desejável (1)</w:t>
            </w:r>
          </w:p>
        </w:tc>
      </w:tr>
      <w:tr w:rsidR="0059479E" w:rsidRPr="0059479E" w14:paraId="127E4EE6" w14:textId="77777777" w:rsidTr="00D638BE">
        <w:trPr>
          <w:trHeight w:val="2400"/>
        </w:trPr>
        <w:tc>
          <w:tcPr>
            <w:tcW w:w="2167" w:type="pct"/>
            <w:vAlign w:val="bottom"/>
            <w:hideMark/>
          </w:tcPr>
          <w:p w14:paraId="700193F2"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disponibilizar, conforme preconiza a MCASP atualizado, identificação das Classificações Patrimoniais dos bens junto às suas respectivas contas contábeis do Ativo Imobilizado. Nessa identificação deve necessariamente relacionar as Contas Contábeis que representam o Ativo Imobilizado e as de Depreciação Acumulada, para cada Classificação de Bens Patrimoniais.</w:t>
            </w:r>
          </w:p>
        </w:tc>
        <w:tc>
          <w:tcPr>
            <w:tcW w:w="779" w:type="pct"/>
            <w:vAlign w:val="bottom"/>
            <w:hideMark/>
          </w:tcPr>
          <w:p w14:paraId="0795A8F2" w14:textId="77777777" w:rsidR="0086550D" w:rsidRDefault="00D638BE">
            <w:r>
              <w:t>Obrigatório (3)</w:t>
            </w:r>
          </w:p>
        </w:tc>
        <w:tc>
          <w:tcPr>
            <w:tcW w:w="715" w:type="pct"/>
            <w:noWrap/>
            <w:vAlign w:val="bottom"/>
            <w:hideMark/>
          </w:tcPr>
          <w:p w14:paraId="137F1379"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D1ACE58"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86AC116"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5B73C1C0" w14:textId="77777777" w:rsidTr="00D638BE">
        <w:trPr>
          <w:trHeight w:val="1500"/>
        </w:trPr>
        <w:tc>
          <w:tcPr>
            <w:tcW w:w="2167" w:type="pct"/>
            <w:vAlign w:val="bottom"/>
            <w:hideMark/>
          </w:tcPr>
          <w:p w14:paraId="12A5823B"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disponibilizar, conforme preconiza a MCASP atualizado, para cada Conta Contábil que representa uma Classificação de Bens Patrimoniais, a vida útil (em anos) e o valor residual esperado ao término da vida útil do bem (em % - percentual).</w:t>
            </w:r>
          </w:p>
        </w:tc>
        <w:tc>
          <w:tcPr>
            <w:tcW w:w="779" w:type="pct"/>
            <w:vAlign w:val="bottom"/>
            <w:hideMark/>
          </w:tcPr>
          <w:p w14:paraId="7281DF82" w14:textId="77777777" w:rsidR="0086550D" w:rsidRDefault="00D638BE">
            <w:r>
              <w:t>Obrigatório (3)</w:t>
            </w:r>
          </w:p>
        </w:tc>
        <w:tc>
          <w:tcPr>
            <w:tcW w:w="715" w:type="pct"/>
            <w:noWrap/>
            <w:vAlign w:val="bottom"/>
            <w:hideMark/>
          </w:tcPr>
          <w:p w14:paraId="7B686267"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E940413"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F6D3414"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7444F5E4" w14:textId="77777777" w:rsidTr="00D638BE">
        <w:trPr>
          <w:trHeight w:val="2100"/>
        </w:trPr>
        <w:tc>
          <w:tcPr>
            <w:tcW w:w="2167" w:type="pct"/>
            <w:vAlign w:val="bottom"/>
            <w:hideMark/>
          </w:tcPr>
          <w:p w14:paraId="02DCBE77"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Disponibilizar a identificação das Comissão de trabalho para o setor de Patrimônio, dispondo de no mínimo a identificação das Comissões de Avaliação Levantamento/Inventário e de Recebimento de Bens. Deverá ainda identificar, para cada comissão, a data de criação, de extinção e a respectiva identificação dos membros do grupo.</w:t>
            </w:r>
          </w:p>
        </w:tc>
        <w:tc>
          <w:tcPr>
            <w:tcW w:w="779" w:type="pct"/>
            <w:vAlign w:val="bottom"/>
            <w:hideMark/>
          </w:tcPr>
          <w:p w14:paraId="69839B4B" w14:textId="77777777" w:rsidR="0086550D" w:rsidRDefault="00D638BE">
            <w:r>
              <w:t>Desejável (1)</w:t>
            </w:r>
          </w:p>
        </w:tc>
        <w:tc>
          <w:tcPr>
            <w:tcW w:w="715" w:type="pct"/>
            <w:noWrap/>
            <w:vAlign w:val="bottom"/>
            <w:hideMark/>
          </w:tcPr>
          <w:p w14:paraId="78E971B3"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EBBCE9F"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5F2877E"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079AD002" w14:textId="77777777" w:rsidTr="00D638BE">
        <w:trPr>
          <w:trHeight w:val="3300"/>
        </w:trPr>
        <w:tc>
          <w:tcPr>
            <w:tcW w:w="2167" w:type="pct"/>
            <w:vAlign w:val="bottom"/>
            <w:hideMark/>
          </w:tcPr>
          <w:p w14:paraId="149A1541"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disponibilizar um cadastro para identificar os Responsáveis por Localizações, por Bens, de modo que essa identificação permita informar, minimamente, o nome do Responsável, o CPF, a Forma de Ingresso e Tipo de Relação do responsável com a entidade. Como formas de ingresso, minimamente, devem existir as opções: Admissão em Emprego Público, Eleição, Nomeação de Cargo Efetivo, Nomeação de Cargo Comissionado. Já como Tipo de Relação é necessário, minimamente: Cargo Efetivo, Cargo Comissionado, Cargo Eletivo, Estagiário, Prestador de Serviços.</w:t>
            </w:r>
          </w:p>
        </w:tc>
        <w:tc>
          <w:tcPr>
            <w:tcW w:w="779" w:type="pct"/>
            <w:vAlign w:val="bottom"/>
            <w:hideMark/>
          </w:tcPr>
          <w:p w14:paraId="762E27F7" w14:textId="77777777" w:rsidR="0086550D" w:rsidRDefault="00D638BE">
            <w:r>
              <w:t>Obrigatório (3)</w:t>
            </w:r>
          </w:p>
        </w:tc>
        <w:tc>
          <w:tcPr>
            <w:tcW w:w="715" w:type="pct"/>
            <w:noWrap/>
            <w:vAlign w:val="bottom"/>
            <w:hideMark/>
          </w:tcPr>
          <w:p w14:paraId="63C02843"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DD58428"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33BC8FF"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26A7DCA9" w14:textId="77777777" w:rsidTr="00D638BE">
        <w:trPr>
          <w:trHeight w:val="5700"/>
        </w:trPr>
        <w:tc>
          <w:tcPr>
            <w:tcW w:w="2167" w:type="pct"/>
            <w:vAlign w:val="bottom"/>
            <w:hideMark/>
          </w:tcPr>
          <w:p w14:paraId="592A8962"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lastRenderedPageBreak/>
              <w:t>Deverá disponibilizar cadastro para os bens, sendo opções distintas para bens patrimoniais, alugados e em comodato. Nos bens patrimoniais, deve minimamente dispor de informações da Placa Patrimonial, Descrição, Nº, Certidão de Registro, Localização, Situação, Classificação Patrimonial, Estado de Conservação, Comissão de Recebimento responsável pelo ato, Data do Ingresso, Tipo do Ingresso, Valor do Ingresso e Valor Complementar. Se é um item que é necessário Ativar na Contabilidade, se possuirá Depreciação, o método da depreciação (minimamente tento as opções de quotas constantes e unidas produzidas), expectativa de vida útil, valor residual, quando inicia a depreciação do bem, dados do tombamento, matrícula, qual processo licitatório e empenho originou o bem (no caso de aquisição). Deverá ainda listar o Termo de Responsabilidade, a critério do usuário, seja ele individual ou coletivo dos bens.</w:t>
            </w:r>
          </w:p>
        </w:tc>
        <w:tc>
          <w:tcPr>
            <w:tcW w:w="779" w:type="pct"/>
            <w:vAlign w:val="bottom"/>
            <w:hideMark/>
          </w:tcPr>
          <w:p w14:paraId="4FE55855" w14:textId="77777777" w:rsidR="0086550D" w:rsidRDefault="00D638BE">
            <w:r>
              <w:t>Desejável (1)</w:t>
            </w:r>
          </w:p>
        </w:tc>
        <w:tc>
          <w:tcPr>
            <w:tcW w:w="715" w:type="pct"/>
            <w:noWrap/>
            <w:vAlign w:val="bottom"/>
            <w:hideMark/>
          </w:tcPr>
          <w:p w14:paraId="2C7A85A7"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3662A29"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16C6693"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5BB79EFE" w14:textId="77777777" w:rsidTr="00D638BE">
        <w:trPr>
          <w:trHeight w:val="2700"/>
        </w:trPr>
        <w:tc>
          <w:tcPr>
            <w:tcW w:w="2167" w:type="pct"/>
            <w:vAlign w:val="bottom"/>
            <w:hideMark/>
          </w:tcPr>
          <w:p w14:paraId="10C90F45"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disponibilizar rotina que permita a alteração de classificação patrimonial do item, de modo que possa ser feito individualmente ou por um lote de itens num mesmo instante. Para tal, deve disponibilizar meios de localizar os itens que são objetivo da alteração da classificação patrimonial, e disponibilizar uma descrição para esse fato que seja aplicada de uma só vez a todos os itens que estão recebendo a nova classificação patrimonial.</w:t>
            </w:r>
          </w:p>
        </w:tc>
        <w:tc>
          <w:tcPr>
            <w:tcW w:w="779" w:type="pct"/>
            <w:vAlign w:val="bottom"/>
            <w:hideMark/>
          </w:tcPr>
          <w:p w14:paraId="0C5B95AC" w14:textId="77777777" w:rsidR="0086550D" w:rsidRDefault="00D638BE">
            <w:r>
              <w:t>Desejável (1)</w:t>
            </w:r>
          </w:p>
        </w:tc>
        <w:tc>
          <w:tcPr>
            <w:tcW w:w="715" w:type="pct"/>
            <w:noWrap/>
            <w:vAlign w:val="bottom"/>
            <w:hideMark/>
          </w:tcPr>
          <w:p w14:paraId="3089A587"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B9FEECE"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199289B"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7C72ADD3" w14:textId="77777777" w:rsidTr="00D638BE">
        <w:trPr>
          <w:trHeight w:val="3618"/>
        </w:trPr>
        <w:tc>
          <w:tcPr>
            <w:tcW w:w="2167" w:type="pct"/>
            <w:vAlign w:val="bottom"/>
            <w:hideMark/>
          </w:tcPr>
          <w:p w14:paraId="2E5B6A90"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Disponibilizar mecanismo que permita a transferência física, de locais, dos itens. Esse mecanismo deve permitir a realização de transferência individual de item, parcial ou global (completa), onde neste último todos os itens de um local devem ser alocados em novo local físico. No caso de transferência parcial e global, deve disponibilizar meios de localizar os itens de origem, pela localização dos mesmos e também devendo selecionar mais de um item da mesma localização (quando parcial). Deverá ainda acrescentar uma descrição para o fato, aplicando a mesma ao histórico de todos os itens transferidos.</w:t>
            </w:r>
          </w:p>
        </w:tc>
        <w:tc>
          <w:tcPr>
            <w:tcW w:w="779" w:type="pct"/>
            <w:vAlign w:val="bottom"/>
            <w:hideMark/>
          </w:tcPr>
          <w:p w14:paraId="0413EC8F" w14:textId="77777777" w:rsidR="0086550D" w:rsidRDefault="00D638BE">
            <w:r>
              <w:t>Importante (2)</w:t>
            </w:r>
          </w:p>
        </w:tc>
        <w:tc>
          <w:tcPr>
            <w:tcW w:w="715" w:type="pct"/>
            <w:noWrap/>
            <w:vAlign w:val="bottom"/>
            <w:hideMark/>
          </w:tcPr>
          <w:p w14:paraId="0B66E00D"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4AE0BBF"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4055AA2"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218ECE47" w14:textId="77777777" w:rsidTr="00D638BE">
        <w:trPr>
          <w:trHeight w:val="2400"/>
        </w:trPr>
        <w:tc>
          <w:tcPr>
            <w:tcW w:w="2167" w:type="pct"/>
            <w:vAlign w:val="bottom"/>
            <w:hideMark/>
          </w:tcPr>
          <w:p w14:paraId="5683619A"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disponibilizar mecanismo que permita adicionar valores complementares, como custos subsequentes, aos itens já existentes. Na inserção desses valores complementares, deverá informar o tipo de ingresso desse valor, o fornecedor, o valor, a descrição, o processo licitatório, o empenho, devendo permitir a inserção de vários empenhos para um único valor complementar.</w:t>
            </w:r>
          </w:p>
        </w:tc>
        <w:tc>
          <w:tcPr>
            <w:tcW w:w="779" w:type="pct"/>
            <w:vAlign w:val="bottom"/>
            <w:hideMark/>
          </w:tcPr>
          <w:p w14:paraId="094424CB" w14:textId="77777777" w:rsidR="0086550D" w:rsidRDefault="00D638BE">
            <w:r>
              <w:t>Desejável (1)</w:t>
            </w:r>
          </w:p>
        </w:tc>
        <w:tc>
          <w:tcPr>
            <w:tcW w:w="715" w:type="pct"/>
            <w:noWrap/>
            <w:vAlign w:val="bottom"/>
            <w:hideMark/>
          </w:tcPr>
          <w:p w14:paraId="16443D0A"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2E67270"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DC1094D"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0380B51A" w14:textId="77777777" w:rsidTr="00D638BE">
        <w:trPr>
          <w:trHeight w:val="2400"/>
        </w:trPr>
        <w:tc>
          <w:tcPr>
            <w:tcW w:w="2167" w:type="pct"/>
            <w:vAlign w:val="bottom"/>
            <w:hideMark/>
          </w:tcPr>
          <w:p w14:paraId="7E8C44A5"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lastRenderedPageBreak/>
              <w:t>Deverá gerir os itens patrimoniais, comodatos e alugados dispondo de mecanismos para a cedência e devolução em comodato, registro e devolução de locação de item, identificação de seguro dos itens (contendo informações de seguradora, apólice, vigência, tipo de seguro), a periodicidade e o tipo de manutenção preventiva e corretiva (incluindo a garantia de manutenção realizada).</w:t>
            </w:r>
          </w:p>
        </w:tc>
        <w:tc>
          <w:tcPr>
            <w:tcW w:w="779" w:type="pct"/>
            <w:vAlign w:val="bottom"/>
            <w:hideMark/>
          </w:tcPr>
          <w:p w14:paraId="66325963" w14:textId="77777777" w:rsidR="0086550D" w:rsidRDefault="00D638BE">
            <w:r>
              <w:t>Desejável (1)</w:t>
            </w:r>
          </w:p>
        </w:tc>
        <w:tc>
          <w:tcPr>
            <w:tcW w:w="715" w:type="pct"/>
            <w:noWrap/>
            <w:vAlign w:val="bottom"/>
            <w:hideMark/>
          </w:tcPr>
          <w:p w14:paraId="349C1716"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32E84F3"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AAF55F1"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629881AA" w14:textId="77777777" w:rsidTr="00D638BE">
        <w:trPr>
          <w:trHeight w:val="2243"/>
        </w:trPr>
        <w:tc>
          <w:tcPr>
            <w:tcW w:w="2167" w:type="pct"/>
            <w:vAlign w:val="bottom"/>
            <w:hideMark/>
          </w:tcPr>
          <w:p w14:paraId="7BB062E9"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disponibilizar de gestão para itens que necessitam de conferência após o recebimento. Deverá identificar, ao ingressar o item, que o mesmo necessita ser conferido. Deverá disponibilizar meios de encontrar todos os itens que precisam de conferência, dispondo de um mecanismo que seja possível encontrar esses itens por exemplo, fornecedor, classificação, nota fiscal e local físico, inserindo a identificação da conferência e também o responsável pelo fato.</w:t>
            </w:r>
          </w:p>
        </w:tc>
        <w:tc>
          <w:tcPr>
            <w:tcW w:w="779" w:type="pct"/>
            <w:vAlign w:val="bottom"/>
            <w:hideMark/>
          </w:tcPr>
          <w:p w14:paraId="38CF74E3" w14:textId="77777777" w:rsidR="0086550D" w:rsidRDefault="00D638BE">
            <w:r>
              <w:t>Obrigatório (3)</w:t>
            </w:r>
          </w:p>
        </w:tc>
        <w:tc>
          <w:tcPr>
            <w:tcW w:w="715" w:type="pct"/>
            <w:noWrap/>
            <w:vAlign w:val="bottom"/>
            <w:hideMark/>
          </w:tcPr>
          <w:p w14:paraId="09C40634"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02EB548"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AED746E"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3CF7B760" w14:textId="77777777" w:rsidTr="00D638BE">
        <w:trPr>
          <w:trHeight w:val="6900"/>
        </w:trPr>
        <w:tc>
          <w:tcPr>
            <w:tcW w:w="2167" w:type="pct"/>
            <w:vAlign w:val="bottom"/>
            <w:hideMark/>
          </w:tcPr>
          <w:p w14:paraId="0FB35192"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ofertar mecanismo para a realização do inventário patrimonial. Deverá identificar o tipo do inventário, a data de abertura e fechamento/finalização do mesmo, a comissão de inventário responsável, o registro de conformidade do mesmo. Deverá ter meios de localizar os itens que comporão inventário, sendo possível encontrá-los por: Classificação, Descrição, Estado de Conservação, Localização, Situação. Na realização do inventário, deve ofertar ainda na mesma funcionalidade, a atualização das informações da Localização do bem, Situação, Estado de Conservação, acrescentar histórico para cada item, bem como a realização da Baixa do mesmo. Enquanto durar o inventário, os bens nele relacionados não poderão receber outras operações. Deverá ter suporte a utilização de coletadores de dados, de modo a realizar a exportação e importação de conteúdo para esses equipamentos. Deverá oferecer recurso técnico que permita configurar os arquivos que são exportados e importados pelo coletor de dados, de modo a ter flexibilidade para atender simultaneamente mais de um modelo de coletor e possa ser realizada pelo usuário.</w:t>
            </w:r>
          </w:p>
        </w:tc>
        <w:tc>
          <w:tcPr>
            <w:tcW w:w="779" w:type="pct"/>
            <w:vAlign w:val="bottom"/>
            <w:hideMark/>
          </w:tcPr>
          <w:p w14:paraId="6D4CF659" w14:textId="77777777" w:rsidR="0086550D" w:rsidRDefault="00D638BE">
            <w:r>
              <w:t>Importante (2)</w:t>
            </w:r>
          </w:p>
        </w:tc>
        <w:tc>
          <w:tcPr>
            <w:tcW w:w="715" w:type="pct"/>
            <w:noWrap/>
            <w:vAlign w:val="bottom"/>
            <w:hideMark/>
          </w:tcPr>
          <w:p w14:paraId="3C93A9E5"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7E98FE2"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64194D7"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53834E02" w14:textId="77777777" w:rsidTr="00D638BE">
        <w:trPr>
          <w:trHeight w:val="6300"/>
        </w:trPr>
        <w:tc>
          <w:tcPr>
            <w:tcW w:w="2167" w:type="pct"/>
            <w:vAlign w:val="bottom"/>
            <w:hideMark/>
          </w:tcPr>
          <w:p w14:paraId="0642AB5B"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lastRenderedPageBreak/>
              <w:t>Deverá oferecer mecanismo que faça a gestão da depreciação dos bens. Nele deve ser possível identificar a que mês se refere a depreciação, a data de realização. A depreciação deve ser realizada automaticamente para todos os bens, com a possibilidade de informar determinados bens de uma natureza, classificação, conta contábil ou localização, possibilitando a inserção das unidades produzidas para os bens que possuem esse método de depreciação. Deve exibir, num mesmo campo de visão, as informações de todas as Contas Contábeis que receberão as depreciações, e em cada uma delas os itens que estão sendo depreciados. Deverá ainda exibir, para cada item que está sendo depreciado, as informações: Vida Útil, produção (quando for o método), Valor Bruto Contábil, Valor Residual, Valor Depreciável, Depreciação já Acumulada, a Depreciação apurada no fato, e o Valor Liquido Contábil. Deverá também dispor de quadros totalizados demonstrando os mesmos valores por Conta Contábil, antes e após a Depreciação que está sendo realizada.</w:t>
            </w:r>
          </w:p>
        </w:tc>
        <w:tc>
          <w:tcPr>
            <w:tcW w:w="779" w:type="pct"/>
            <w:vAlign w:val="bottom"/>
            <w:hideMark/>
          </w:tcPr>
          <w:p w14:paraId="46B46E7E" w14:textId="77777777" w:rsidR="0086550D" w:rsidRDefault="00D638BE">
            <w:r>
              <w:t>Obrigatório (3)</w:t>
            </w:r>
          </w:p>
        </w:tc>
        <w:tc>
          <w:tcPr>
            <w:tcW w:w="715" w:type="pct"/>
            <w:noWrap/>
            <w:vAlign w:val="bottom"/>
            <w:hideMark/>
          </w:tcPr>
          <w:p w14:paraId="12FFA69A"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4A718B7"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96C1C37"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752BACF6" w14:textId="77777777" w:rsidTr="00D638BE">
        <w:trPr>
          <w:trHeight w:val="4027"/>
        </w:trPr>
        <w:tc>
          <w:tcPr>
            <w:tcW w:w="2167" w:type="pct"/>
            <w:vAlign w:val="bottom"/>
            <w:hideMark/>
          </w:tcPr>
          <w:p w14:paraId="6F548F5F"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Disponibilizar mecanismo para realizar a Avaliação Patrimonial, tanto a Reavaliação quando a Redução do Ativo ao Valor Recuperável. Deverá permitir a realização da avaliação de forma individual, dispondo de meios para atualização das informações: unidades produzidas, situação, método de depreciação, vida útil, valor residual. Deverá, quando realizada avaliação para um item depreciável, calcular a depreciação parcial até o momento da realização da avaliação patrimonial, permitindo que o novo ciclo do bem, após a avaliação, tenha um novo ciclo para a depreciação. Deve inda exibir o Valor Bruto Contábil, Valor Residual, Depreciação Acumulada, Depreciação Apurada no fato (na avaliação), e o Valor Líquido Contábil.</w:t>
            </w:r>
          </w:p>
        </w:tc>
        <w:tc>
          <w:tcPr>
            <w:tcW w:w="779" w:type="pct"/>
            <w:vAlign w:val="bottom"/>
            <w:hideMark/>
          </w:tcPr>
          <w:p w14:paraId="1A0D17E4" w14:textId="77777777" w:rsidR="0086550D" w:rsidRDefault="00D638BE">
            <w:r>
              <w:t>Obrigatório (3)</w:t>
            </w:r>
          </w:p>
        </w:tc>
        <w:tc>
          <w:tcPr>
            <w:tcW w:w="715" w:type="pct"/>
            <w:noWrap/>
            <w:vAlign w:val="bottom"/>
            <w:hideMark/>
          </w:tcPr>
          <w:p w14:paraId="035A3A5B"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77D7533"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305EB95"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2EB585A9" w14:textId="77777777" w:rsidTr="00D638BE">
        <w:trPr>
          <w:trHeight w:val="2100"/>
        </w:trPr>
        <w:tc>
          <w:tcPr>
            <w:tcW w:w="2167" w:type="pct"/>
            <w:vAlign w:val="bottom"/>
            <w:hideMark/>
          </w:tcPr>
          <w:p w14:paraId="2797408C"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disponibilizar de mecanismo para realizar a Baixa dos itens, podendo ser individualmente ou de forma global/em lote. Deverá identificar o tipo da baixa que está sendo realizada, o motivo, e nos casos de baixa global, aplicar o histórico para todos os itens que estão sendo baixados. É necessário identificar o fundamento legal que está amparando tal fato.</w:t>
            </w:r>
          </w:p>
        </w:tc>
        <w:tc>
          <w:tcPr>
            <w:tcW w:w="779" w:type="pct"/>
            <w:vAlign w:val="bottom"/>
            <w:hideMark/>
          </w:tcPr>
          <w:p w14:paraId="7093F2FA" w14:textId="77777777" w:rsidR="0086550D" w:rsidRDefault="00D638BE">
            <w:r>
              <w:t>Importante (2)</w:t>
            </w:r>
          </w:p>
        </w:tc>
        <w:tc>
          <w:tcPr>
            <w:tcW w:w="715" w:type="pct"/>
            <w:noWrap/>
            <w:vAlign w:val="bottom"/>
            <w:hideMark/>
          </w:tcPr>
          <w:p w14:paraId="76DD62E5"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627D19F"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0A17FED"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3B1AE96A" w14:textId="77777777" w:rsidTr="00D638BE">
        <w:trPr>
          <w:trHeight w:val="2833"/>
        </w:trPr>
        <w:tc>
          <w:tcPr>
            <w:tcW w:w="2167" w:type="pct"/>
            <w:vAlign w:val="bottom"/>
            <w:hideMark/>
          </w:tcPr>
          <w:p w14:paraId="04D560B7"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lastRenderedPageBreak/>
              <w:t>Deverá dispor de mecanismo para realização da transferência de itens entre entidade distintas (unidade gestoras). Para tal, deve identificar se a transferência se refere a doação ou apenas transferência temporária, o fundamento legal que ampara tal fato, a identificação da origem e destino dos bens (identificando a unidade gestora e o local de destino). Deverá ainda exibir um quadro com todos os itens que estão sendo transferidos, bem como todos os seus valores (contábil, depreciável, residual, líquido contábil).</w:t>
            </w:r>
          </w:p>
        </w:tc>
        <w:tc>
          <w:tcPr>
            <w:tcW w:w="779" w:type="pct"/>
            <w:vAlign w:val="bottom"/>
            <w:hideMark/>
          </w:tcPr>
          <w:p w14:paraId="08EC086D" w14:textId="77777777" w:rsidR="0086550D" w:rsidRDefault="00D638BE">
            <w:r>
              <w:t>Obrigatório (3)</w:t>
            </w:r>
          </w:p>
        </w:tc>
        <w:tc>
          <w:tcPr>
            <w:tcW w:w="715" w:type="pct"/>
            <w:noWrap/>
            <w:vAlign w:val="bottom"/>
            <w:hideMark/>
          </w:tcPr>
          <w:p w14:paraId="620BFD0F"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0F822E3"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A5F0A4C"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38A51BB4" w14:textId="77777777" w:rsidTr="00D638BE">
        <w:trPr>
          <w:trHeight w:val="4042"/>
        </w:trPr>
        <w:tc>
          <w:tcPr>
            <w:tcW w:w="2167" w:type="pct"/>
            <w:vAlign w:val="bottom"/>
            <w:hideMark/>
          </w:tcPr>
          <w:p w14:paraId="12796AB7"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integrar-se ao sistema de contabilidade de modo que todas as operações que necessitam de contabilização tenham o seu registro, no exato momento em que o fato está sendo realizado. Assim, as operações de ingresso, Depreciação, Avaliação, Alteração da Classificação Contábil do Bem e Baixa devem contar com esse mecanismo de contabilização. As contabilizações decorrentes desses fatos devem ser flexíveis, configuráveis pelo usuário, de modo que atenda a todas as particularidades de contas contábeis existentes no PCASP. Deverá ainda, ter mecanismo que permita a realização dos estornos dessas operações citadas anteriormente, de modo que também ocorra a contabilização no sistema de contabilidade no exato momento em que ocorre o estorno no sistema de gestão patrimonial.</w:t>
            </w:r>
          </w:p>
        </w:tc>
        <w:tc>
          <w:tcPr>
            <w:tcW w:w="779" w:type="pct"/>
            <w:vAlign w:val="bottom"/>
            <w:hideMark/>
          </w:tcPr>
          <w:p w14:paraId="56FFB4D6" w14:textId="77777777" w:rsidR="0086550D" w:rsidRDefault="00D638BE">
            <w:r>
              <w:t>Obrigatório (3)</w:t>
            </w:r>
          </w:p>
        </w:tc>
        <w:tc>
          <w:tcPr>
            <w:tcW w:w="715" w:type="pct"/>
            <w:noWrap/>
            <w:vAlign w:val="bottom"/>
            <w:hideMark/>
          </w:tcPr>
          <w:p w14:paraId="2AC96516"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B37D3B0"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7C0C07B"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5DA227C7" w14:textId="77777777" w:rsidTr="00D638BE">
        <w:trPr>
          <w:trHeight w:val="1233"/>
        </w:trPr>
        <w:tc>
          <w:tcPr>
            <w:tcW w:w="2167" w:type="pct"/>
            <w:vAlign w:val="bottom"/>
            <w:hideMark/>
          </w:tcPr>
          <w:p w14:paraId="3124AD52"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emitir relatório com visão contábil das operações realizadas e que possuem essa característica de interferir no valor dos bens. Esse relatório deve demonstrar, por Conta Contábil, por Classificação Patrimonial e por Localização, os valores de Saldo Anterior, Total de Ingressos, Avaliação, Depreciação, Baixa e Saldo Atualizado.</w:t>
            </w:r>
          </w:p>
        </w:tc>
        <w:tc>
          <w:tcPr>
            <w:tcW w:w="779" w:type="pct"/>
            <w:vAlign w:val="bottom"/>
            <w:hideMark/>
          </w:tcPr>
          <w:p w14:paraId="6719EFF7" w14:textId="77777777" w:rsidR="0086550D" w:rsidRDefault="00D638BE">
            <w:r>
              <w:t>Obrigatório (3)</w:t>
            </w:r>
          </w:p>
        </w:tc>
        <w:tc>
          <w:tcPr>
            <w:tcW w:w="715" w:type="pct"/>
            <w:noWrap/>
            <w:vAlign w:val="bottom"/>
            <w:hideMark/>
          </w:tcPr>
          <w:p w14:paraId="6917B404"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D61DCC3"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E5F007A"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06CAF9EA" w14:textId="77777777" w:rsidTr="00D638BE">
        <w:trPr>
          <w:trHeight w:val="3300"/>
        </w:trPr>
        <w:tc>
          <w:tcPr>
            <w:tcW w:w="2167" w:type="pct"/>
            <w:vAlign w:val="bottom"/>
            <w:hideMark/>
          </w:tcPr>
          <w:p w14:paraId="30DCE6DE"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disponibilizar também informações gerenciais e contábeis dos bens, onde se evidencie numa única tela, as informações de saldo anterior, débitos, créditos, saldo atual, valor depreciável, depreciação acumulada e valor líquido contábil, sendo estas informações exibidas por conta contábil e por item/bem patrimonial. Deverá ainda exibir, na mesma tela, as operações de cada item que resultaram nos totalizadores acima citados, contendo a data da operação, a descrição, o valor da operação e o reflexo dessa operação para a contabilidade.</w:t>
            </w:r>
          </w:p>
        </w:tc>
        <w:tc>
          <w:tcPr>
            <w:tcW w:w="779" w:type="pct"/>
            <w:vAlign w:val="bottom"/>
            <w:hideMark/>
          </w:tcPr>
          <w:p w14:paraId="2591A9DE" w14:textId="77777777" w:rsidR="0086550D" w:rsidRDefault="00D638BE">
            <w:r>
              <w:t>Obrigatório (3)</w:t>
            </w:r>
          </w:p>
        </w:tc>
        <w:tc>
          <w:tcPr>
            <w:tcW w:w="715" w:type="pct"/>
            <w:noWrap/>
            <w:vAlign w:val="bottom"/>
            <w:hideMark/>
          </w:tcPr>
          <w:p w14:paraId="602E6D9B"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02FC9D8"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45F4AF1"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38CB88F4" w14:textId="77777777" w:rsidTr="00D638BE">
        <w:trPr>
          <w:trHeight w:val="2400"/>
        </w:trPr>
        <w:tc>
          <w:tcPr>
            <w:tcW w:w="2167" w:type="pct"/>
            <w:vAlign w:val="bottom"/>
            <w:hideMark/>
          </w:tcPr>
          <w:p w14:paraId="33E22AF3"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Deverá disponibilizar relatório onde conste todo o histórico das alterações realizadas ao longo da vida útil do item, demonstrando minimamente as informações de alterações de placa, situação, estado de conservação, responsável. Também deverá demonstrar em relatório todas as movimentações ocorridas com o bem e que tiveram impacto em seus valores, como depreciação, avaliação, baixa.</w:t>
            </w:r>
          </w:p>
        </w:tc>
        <w:tc>
          <w:tcPr>
            <w:tcW w:w="779" w:type="pct"/>
            <w:vAlign w:val="bottom"/>
            <w:hideMark/>
          </w:tcPr>
          <w:p w14:paraId="069674D0" w14:textId="77777777" w:rsidR="0086550D" w:rsidRDefault="00D638BE">
            <w:r>
              <w:t>Importante (2)</w:t>
            </w:r>
          </w:p>
        </w:tc>
        <w:tc>
          <w:tcPr>
            <w:tcW w:w="715" w:type="pct"/>
            <w:noWrap/>
            <w:vAlign w:val="bottom"/>
            <w:hideMark/>
          </w:tcPr>
          <w:p w14:paraId="550BFC72"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7E073AF"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8C2EB5A"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2CC7D6DF" w14:textId="77777777" w:rsidTr="00D638BE">
        <w:trPr>
          <w:trHeight w:val="1500"/>
        </w:trPr>
        <w:tc>
          <w:tcPr>
            <w:tcW w:w="2167" w:type="pct"/>
            <w:vAlign w:val="bottom"/>
            <w:hideMark/>
          </w:tcPr>
          <w:p w14:paraId="7351C763"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lastRenderedPageBreak/>
              <w:t>Deverá dispor de filtros para permitir calcular a depreciação dos itens de determinada conta contábil, localização, natureza, ou até mesmo de um único item, tornando o cálculo mais flexível e facilitando o recálculo, quando este se fizer necessário.</w:t>
            </w:r>
          </w:p>
        </w:tc>
        <w:tc>
          <w:tcPr>
            <w:tcW w:w="779" w:type="pct"/>
            <w:vAlign w:val="bottom"/>
            <w:hideMark/>
          </w:tcPr>
          <w:p w14:paraId="235B1D7F" w14:textId="77777777" w:rsidR="0086550D" w:rsidRDefault="00D638BE">
            <w:r>
              <w:t>Obrigatório (3)</w:t>
            </w:r>
          </w:p>
        </w:tc>
        <w:tc>
          <w:tcPr>
            <w:tcW w:w="715" w:type="pct"/>
            <w:noWrap/>
            <w:vAlign w:val="bottom"/>
            <w:hideMark/>
          </w:tcPr>
          <w:p w14:paraId="798766C7"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A7ED1BC"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E40F36F"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29105FB6" w14:textId="77777777" w:rsidTr="00D638BE">
        <w:trPr>
          <w:trHeight w:val="2100"/>
        </w:trPr>
        <w:tc>
          <w:tcPr>
            <w:tcW w:w="2167" w:type="pct"/>
            <w:vAlign w:val="bottom"/>
            <w:hideMark/>
          </w:tcPr>
          <w:p w14:paraId="098AF1EC"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Possibilitar a transferência de um ou mais itens, seja patrimonial, comodato ou alugado, de uma determinada localização ou classificação, além de fornecer um resumo dos itens que serão transferidos com os respectivos valores totalizados, além de permitir indicar um intervalo de itens a serem transferidos, por código a placa inicial e final.</w:t>
            </w:r>
          </w:p>
        </w:tc>
        <w:tc>
          <w:tcPr>
            <w:tcW w:w="779" w:type="pct"/>
            <w:vAlign w:val="bottom"/>
            <w:hideMark/>
          </w:tcPr>
          <w:p w14:paraId="326F9419" w14:textId="77777777" w:rsidR="0086550D" w:rsidRDefault="00D638BE">
            <w:r>
              <w:t>Desejável (1)</w:t>
            </w:r>
          </w:p>
        </w:tc>
        <w:tc>
          <w:tcPr>
            <w:tcW w:w="715" w:type="pct"/>
            <w:noWrap/>
            <w:vAlign w:val="bottom"/>
            <w:hideMark/>
          </w:tcPr>
          <w:p w14:paraId="7D9140BF"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86DCC08"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739376F"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73B3DB00" w14:textId="77777777" w:rsidTr="00D638BE">
        <w:trPr>
          <w:trHeight w:val="2100"/>
        </w:trPr>
        <w:tc>
          <w:tcPr>
            <w:tcW w:w="2167" w:type="pct"/>
            <w:vAlign w:val="bottom"/>
            <w:hideMark/>
          </w:tcPr>
          <w:p w14:paraId="7434A068"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Possibilitar a geração de Termo de Responsabilidade com a relação dos itens patrimoniais, a ser entregue para assinatura dos detentores desses bens. Deve ser possível imprimir no termo todos os bens de um determinado responsável, ou de umas determinadas localizações, ou com determinadas situações/estados de conservação.</w:t>
            </w:r>
          </w:p>
        </w:tc>
        <w:tc>
          <w:tcPr>
            <w:tcW w:w="779" w:type="pct"/>
            <w:vAlign w:val="bottom"/>
            <w:hideMark/>
          </w:tcPr>
          <w:p w14:paraId="21FAA713" w14:textId="77777777" w:rsidR="0086550D" w:rsidRDefault="00D638BE">
            <w:r>
              <w:t>Desejável</w:t>
            </w:r>
            <w:r>
              <w:t xml:space="preserve"> (1)</w:t>
            </w:r>
          </w:p>
        </w:tc>
        <w:tc>
          <w:tcPr>
            <w:tcW w:w="715" w:type="pct"/>
            <w:noWrap/>
            <w:vAlign w:val="bottom"/>
            <w:hideMark/>
          </w:tcPr>
          <w:p w14:paraId="27E84FF5"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6502B7E"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CA1512D"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068CE159" w14:textId="77777777" w:rsidTr="00D638BE">
        <w:trPr>
          <w:trHeight w:val="1264"/>
        </w:trPr>
        <w:tc>
          <w:tcPr>
            <w:tcW w:w="2167" w:type="pct"/>
            <w:vAlign w:val="bottom"/>
            <w:hideMark/>
          </w:tcPr>
          <w:p w14:paraId="55E57CEB"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Dispor de relatórios para realizar a conferência das movimentações de ingresso e egresso de bens, permitindo filtrar por entidade, número do empenho, tipo de operação, classificação e/ou conta contábil. Permitir listar as movimentações sem empenho vinculado.</w:t>
            </w:r>
          </w:p>
        </w:tc>
        <w:tc>
          <w:tcPr>
            <w:tcW w:w="779" w:type="pct"/>
            <w:vAlign w:val="bottom"/>
            <w:hideMark/>
          </w:tcPr>
          <w:p w14:paraId="5FF62F31" w14:textId="77777777" w:rsidR="0086550D" w:rsidRDefault="00D638BE">
            <w:r>
              <w:t>Obrigatório (3)</w:t>
            </w:r>
          </w:p>
        </w:tc>
        <w:tc>
          <w:tcPr>
            <w:tcW w:w="715" w:type="pct"/>
            <w:noWrap/>
            <w:vAlign w:val="bottom"/>
            <w:hideMark/>
          </w:tcPr>
          <w:p w14:paraId="027D5341"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CEFA009"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FDB2E53"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226568F4" w14:textId="77777777" w:rsidTr="00D638BE">
        <w:trPr>
          <w:trHeight w:val="1200"/>
        </w:trPr>
        <w:tc>
          <w:tcPr>
            <w:tcW w:w="2167" w:type="pct"/>
            <w:vAlign w:val="bottom"/>
            <w:hideMark/>
          </w:tcPr>
          <w:p w14:paraId="65ADD9D6"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Dispor de filtros por tipo de ingresso e movimentação, período e empenho vinculado, para facilitar as conferências das movimentações e valores registrados.</w:t>
            </w:r>
          </w:p>
        </w:tc>
        <w:tc>
          <w:tcPr>
            <w:tcW w:w="779" w:type="pct"/>
            <w:vAlign w:val="bottom"/>
            <w:hideMark/>
          </w:tcPr>
          <w:p w14:paraId="598AE405" w14:textId="77777777" w:rsidR="0086550D" w:rsidRDefault="00D638BE">
            <w:r>
              <w:t>Importante (2)</w:t>
            </w:r>
          </w:p>
        </w:tc>
        <w:tc>
          <w:tcPr>
            <w:tcW w:w="715" w:type="pct"/>
            <w:noWrap/>
            <w:vAlign w:val="bottom"/>
            <w:hideMark/>
          </w:tcPr>
          <w:p w14:paraId="405A88A1"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C386925"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B26966B"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0FC5EB03" w14:textId="77777777" w:rsidTr="00D638BE">
        <w:trPr>
          <w:trHeight w:val="1080"/>
        </w:trPr>
        <w:tc>
          <w:tcPr>
            <w:tcW w:w="2167" w:type="pct"/>
            <w:vAlign w:val="bottom"/>
            <w:hideMark/>
          </w:tcPr>
          <w:p w14:paraId="27782991"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Permitir múltiplos lançamentos de valor complementar para os itens patrimoniais na mesma data, diferenciando-os através de uma sequência numérica, e assegurando que o registro desses eventos seja realizado respeitando a cronologia dos fatos.</w:t>
            </w:r>
          </w:p>
        </w:tc>
        <w:tc>
          <w:tcPr>
            <w:tcW w:w="779" w:type="pct"/>
            <w:vAlign w:val="bottom"/>
            <w:hideMark/>
          </w:tcPr>
          <w:p w14:paraId="47DF59BF" w14:textId="77777777" w:rsidR="0086550D" w:rsidRDefault="00D638BE">
            <w:r>
              <w:t>Desejável (1)</w:t>
            </w:r>
          </w:p>
        </w:tc>
        <w:tc>
          <w:tcPr>
            <w:tcW w:w="715" w:type="pct"/>
            <w:noWrap/>
            <w:vAlign w:val="bottom"/>
            <w:hideMark/>
          </w:tcPr>
          <w:p w14:paraId="5E82C575"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9DE07DF"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5E0E535"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0CF90360" w14:textId="77777777" w:rsidTr="00D638BE">
        <w:trPr>
          <w:trHeight w:val="1200"/>
        </w:trPr>
        <w:tc>
          <w:tcPr>
            <w:tcW w:w="2167" w:type="pct"/>
            <w:vAlign w:val="bottom"/>
            <w:hideMark/>
          </w:tcPr>
          <w:p w14:paraId="36D593E1"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Possibilitar a correção do registro dos eventos de Itens Patrimoniais, mesmo quando houver movimentações posteriores, desde que estejam estornadas, garantindo a ordem cronológica dos eventos.</w:t>
            </w:r>
          </w:p>
        </w:tc>
        <w:tc>
          <w:tcPr>
            <w:tcW w:w="779" w:type="pct"/>
            <w:vAlign w:val="bottom"/>
            <w:hideMark/>
          </w:tcPr>
          <w:p w14:paraId="3A96E4A6" w14:textId="77777777" w:rsidR="0086550D" w:rsidRDefault="00D638BE">
            <w:r>
              <w:t>Desejável (1)</w:t>
            </w:r>
          </w:p>
        </w:tc>
        <w:tc>
          <w:tcPr>
            <w:tcW w:w="715" w:type="pct"/>
            <w:noWrap/>
            <w:vAlign w:val="bottom"/>
            <w:hideMark/>
          </w:tcPr>
          <w:p w14:paraId="49CE79D6"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124F62A"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204608E"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5B093FE8" w14:textId="77777777" w:rsidTr="00D638BE">
        <w:trPr>
          <w:trHeight w:val="2100"/>
        </w:trPr>
        <w:tc>
          <w:tcPr>
            <w:tcW w:w="2167" w:type="pct"/>
            <w:vAlign w:val="bottom"/>
            <w:hideMark/>
          </w:tcPr>
          <w:p w14:paraId="480340E8" w14:textId="77777777" w:rsidR="0059479E" w:rsidRPr="0059479E" w:rsidRDefault="0059479E" w:rsidP="00D638BE">
            <w:pPr>
              <w:spacing w:after="0" w:line="240" w:lineRule="auto"/>
              <w:jc w:val="both"/>
              <w:rPr>
                <w:rFonts w:ascii="Calibri" w:eastAsia="Times New Roman" w:hAnsi="Calibri" w:cs="Calibri"/>
                <w:color w:val="000000"/>
                <w:kern w:val="0"/>
                <w:sz w:val="22"/>
                <w:szCs w:val="22"/>
                <w:lang w:eastAsia="pt-BR"/>
                <w14:ligatures w14:val="none"/>
              </w:rPr>
            </w:pPr>
            <w:r w:rsidRPr="0059479E">
              <w:rPr>
                <w:rFonts w:ascii="Calibri" w:eastAsia="Times New Roman" w:hAnsi="Calibri" w:cs="Calibri"/>
                <w:color w:val="000000"/>
                <w:kern w:val="0"/>
                <w:sz w:val="22"/>
                <w:szCs w:val="22"/>
                <w:lang w:eastAsia="pt-BR"/>
                <w14:ligatures w14:val="none"/>
              </w:rPr>
              <w:t>Realizar a baixa de bens patrimoniais por motivo de Venda (Alienação), com recebimento parcelado, de forma que a contabilização aconteça de acordo com o recebimento de cada parcela, evitando que ocorram críticas na prestação de contas do TCE\PR, decorrentes de inconsistências entre os arquivos de Patrimônio x Receita x Contabilidade.</w:t>
            </w:r>
          </w:p>
        </w:tc>
        <w:tc>
          <w:tcPr>
            <w:tcW w:w="779" w:type="pct"/>
            <w:vAlign w:val="bottom"/>
            <w:hideMark/>
          </w:tcPr>
          <w:p w14:paraId="3FDDE59D" w14:textId="77777777" w:rsidR="0086550D" w:rsidRDefault="00D638BE">
            <w:r>
              <w:t>Obrigatório (3)</w:t>
            </w:r>
          </w:p>
        </w:tc>
        <w:tc>
          <w:tcPr>
            <w:tcW w:w="715" w:type="pct"/>
            <w:noWrap/>
            <w:vAlign w:val="bottom"/>
            <w:hideMark/>
          </w:tcPr>
          <w:p w14:paraId="3EBE9000"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FA73348"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C671E7C" w14:textId="77777777" w:rsidR="0059479E" w:rsidRPr="0059479E" w:rsidRDefault="0059479E" w:rsidP="0059479E">
            <w:pPr>
              <w:spacing w:after="0" w:line="240" w:lineRule="auto"/>
              <w:rPr>
                <w:rFonts w:ascii="Times New Roman" w:eastAsia="Times New Roman" w:hAnsi="Times New Roman" w:cs="Times New Roman"/>
                <w:kern w:val="0"/>
                <w:sz w:val="20"/>
                <w:szCs w:val="20"/>
                <w:lang w:eastAsia="pt-BR"/>
                <w14:ligatures w14:val="none"/>
              </w:rPr>
            </w:pPr>
          </w:p>
        </w:tc>
      </w:tr>
      <w:tr w:rsidR="0059479E" w:rsidRPr="0059479E" w14:paraId="674E8342" w14:textId="77777777" w:rsidTr="00D638BE">
        <w:trPr>
          <w:trHeight w:val="300"/>
        </w:trPr>
        <w:tc>
          <w:tcPr>
            <w:tcW w:w="2167" w:type="pct"/>
            <w:vAlign w:val="center"/>
            <w:hideMark/>
          </w:tcPr>
          <w:p w14:paraId="0CE57E5A" w14:textId="77777777" w:rsidR="0059479E" w:rsidRPr="0059479E" w:rsidRDefault="0059479E" w:rsidP="0059479E">
            <w:pPr>
              <w:spacing w:after="0" w:line="240" w:lineRule="auto"/>
              <w:jc w:val="center"/>
              <w:rPr>
                <w:rFonts w:ascii="Calibri" w:eastAsia="Times New Roman" w:hAnsi="Calibri" w:cs="Calibri"/>
                <w:b/>
                <w:bCs/>
                <w:color w:val="000000"/>
                <w:kern w:val="0"/>
                <w:sz w:val="22"/>
                <w:szCs w:val="22"/>
                <w:lang w:eastAsia="pt-BR"/>
                <w14:ligatures w14:val="none"/>
              </w:rPr>
            </w:pPr>
            <w:r w:rsidRPr="0059479E">
              <w:rPr>
                <w:rFonts w:ascii="Calibri" w:eastAsia="Times New Roman" w:hAnsi="Calibri" w:cs="Calibri"/>
                <w:b/>
                <w:bCs/>
                <w:color w:val="000000"/>
                <w:kern w:val="0"/>
                <w:sz w:val="22"/>
                <w:szCs w:val="22"/>
                <w:lang w:eastAsia="pt-BR"/>
                <w14:ligatures w14:val="none"/>
              </w:rPr>
              <w:t>Total de Pontos do Módulo</w:t>
            </w:r>
          </w:p>
        </w:tc>
        <w:tc>
          <w:tcPr>
            <w:tcW w:w="2833" w:type="pct"/>
            <w:gridSpan w:val="4"/>
            <w:vAlign w:val="center"/>
            <w:hideMark/>
          </w:tcPr>
          <w:p w14:paraId="5B2CF8B8" w14:textId="79545110" w:rsidR="0086550D" w:rsidRDefault="0086550D"/>
        </w:tc>
      </w:tr>
    </w:tbl>
    <w:p w14:paraId="4A0E61B4" w14:textId="77777777" w:rsidR="00B51C11" w:rsidRDefault="00B51C11"/>
    <w:sectPr w:rsidR="00B51C11" w:rsidSect="005947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9E"/>
    <w:rsid w:val="000A7DD1"/>
    <w:rsid w:val="00134222"/>
    <w:rsid w:val="0059479E"/>
    <w:rsid w:val="005D71D0"/>
    <w:rsid w:val="006B5410"/>
    <w:rsid w:val="0086550D"/>
    <w:rsid w:val="00AB5332"/>
    <w:rsid w:val="00B51C11"/>
    <w:rsid w:val="00C03979"/>
    <w:rsid w:val="00D638BE"/>
    <w:rsid w:val="00DC03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57CB"/>
  <w15:chartTrackingRefBased/>
  <w15:docId w15:val="{FF5E1BDF-6662-4BD6-834D-5537174F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94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594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9479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9479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9479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947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947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947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9479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479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59479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9479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9479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9479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9479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9479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9479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9479E"/>
    <w:rPr>
      <w:rFonts w:eastAsiaTheme="majorEastAsia" w:cstheme="majorBidi"/>
      <w:color w:val="272727" w:themeColor="text1" w:themeTint="D8"/>
    </w:rPr>
  </w:style>
  <w:style w:type="paragraph" w:styleId="Ttulo">
    <w:name w:val="Title"/>
    <w:basedOn w:val="Normal"/>
    <w:next w:val="Normal"/>
    <w:link w:val="TtuloChar"/>
    <w:uiPriority w:val="10"/>
    <w:qFormat/>
    <w:rsid w:val="00594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947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9479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9479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9479E"/>
    <w:pPr>
      <w:spacing w:before="160"/>
      <w:jc w:val="center"/>
    </w:pPr>
    <w:rPr>
      <w:i/>
      <w:iCs/>
      <w:color w:val="404040" w:themeColor="text1" w:themeTint="BF"/>
    </w:rPr>
  </w:style>
  <w:style w:type="character" w:customStyle="1" w:styleId="CitaoChar">
    <w:name w:val="Citação Char"/>
    <w:basedOn w:val="Fontepargpadro"/>
    <w:link w:val="Citao"/>
    <w:uiPriority w:val="29"/>
    <w:rsid w:val="0059479E"/>
    <w:rPr>
      <w:i/>
      <w:iCs/>
      <w:color w:val="404040" w:themeColor="text1" w:themeTint="BF"/>
    </w:rPr>
  </w:style>
  <w:style w:type="paragraph" w:styleId="PargrafodaLista">
    <w:name w:val="List Paragraph"/>
    <w:basedOn w:val="Normal"/>
    <w:uiPriority w:val="34"/>
    <w:qFormat/>
    <w:rsid w:val="0059479E"/>
    <w:pPr>
      <w:ind w:left="720"/>
      <w:contextualSpacing/>
    </w:pPr>
  </w:style>
  <w:style w:type="character" w:styleId="nfaseIntensa">
    <w:name w:val="Intense Emphasis"/>
    <w:basedOn w:val="Fontepargpadro"/>
    <w:uiPriority w:val="21"/>
    <w:qFormat/>
    <w:rsid w:val="0059479E"/>
    <w:rPr>
      <w:i/>
      <w:iCs/>
      <w:color w:val="2F5496" w:themeColor="accent1" w:themeShade="BF"/>
    </w:rPr>
  </w:style>
  <w:style w:type="paragraph" w:styleId="CitaoIntensa">
    <w:name w:val="Intense Quote"/>
    <w:basedOn w:val="Normal"/>
    <w:next w:val="Normal"/>
    <w:link w:val="CitaoIntensaChar"/>
    <w:uiPriority w:val="30"/>
    <w:qFormat/>
    <w:rsid w:val="00594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9479E"/>
    <w:rPr>
      <w:i/>
      <w:iCs/>
      <w:color w:val="2F5496" w:themeColor="accent1" w:themeShade="BF"/>
    </w:rPr>
  </w:style>
  <w:style w:type="character" w:styleId="RefernciaIntensa">
    <w:name w:val="Intense Reference"/>
    <w:basedOn w:val="Fontepargpadro"/>
    <w:uiPriority w:val="32"/>
    <w:qFormat/>
    <w:rsid w:val="00594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11228</Characters>
  <Application>Microsoft Office Word</Application>
  <DocSecurity>0</DocSecurity>
  <Lines>93</Lines>
  <Paragraphs>26</Paragraphs>
  <ScaleCrop>false</ScaleCrop>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Josi</cp:lastModifiedBy>
  <cp:revision>2</cp:revision>
  <cp:lastPrinted>2026-05-20T14:11:00Z</cp:lastPrinted>
  <dcterms:created xsi:type="dcterms:W3CDTF">2026-05-20T14:11:00Z</dcterms:created>
  <dcterms:modified xsi:type="dcterms:W3CDTF">2026-05-20T14:11:00Z</dcterms:modified>
</cp:coreProperties>
</file>