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0D85" w:rsidRPr="002B4516" w:rsidRDefault="00040D85" w:rsidP="00040D85">
      <w:pPr>
        <w:rPr>
          <w:b/>
          <w:bCs/>
        </w:rPr>
      </w:pPr>
      <w:r w:rsidRPr="002B4516">
        <w:rPr>
          <w:b/>
          <w:bCs/>
        </w:rPr>
        <w:t>ESTUDO TÉCNICO PRELIMINAR (ETP)</w:t>
      </w:r>
    </w:p>
    <w:p w:rsidR="00CA69A9" w:rsidRPr="00CA69A9" w:rsidRDefault="00040D85" w:rsidP="00040D85">
      <w:r w:rsidRPr="002B4516">
        <w:rPr>
          <w:b/>
          <w:bCs/>
        </w:rPr>
        <w:t>Contratante:</w:t>
      </w:r>
      <w:r w:rsidRPr="002B4516">
        <w:t xml:space="preserve"> Prefeitura Municipal de Bom Sucesso do Sul – PR</w:t>
      </w:r>
      <w:r w:rsidRPr="002B4516">
        <w:br/>
      </w:r>
      <w:r w:rsidRPr="002B4516">
        <w:rPr>
          <w:b/>
          <w:bCs/>
        </w:rPr>
        <w:t>Unidade Requisitante:</w:t>
      </w:r>
      <w:r w:rsidRPr="002B4516">
        <w:t xml:space="preserve"> Secretaria Municipal de Obras/Patrimônio</w:t>
      </w:r>
      <w:r w:rsidRPr="002B4516">
        <w:br/>
      </w:r>
      <w:r w:rsidRPr="002B4516">
        <w:rPr>
          <w:b/>
          <w:bCs/>
        </w:rPr>
        <w:t>Objeto:</w:t>
      </w:r>
      <w:r w:rsidRPr="002B4516">
        <w:t xml:space="preserve"> Contratação de empresa especializada para prestação de serviços de </w:t>
      </w:r>
      <w:r w:rsidRPr="002B4516">
        <w:rPr>
          <w:b/>
          <w:bCs/>
        </w:rPr>
        <w:t>mão de obra de pintura predial</w:t>
      </w:r>
      <w:r w:rsidRPr="002B4516">
        <w:t xml:space="preserve"> (externa e interna) em prédios públicos municipais (escolas, postos de saúde, </w:t>
      </w:r>
      <w:r w:rsidRPr="00CA69A9">
        <w:t>centro administrativo, ginásio etc.).</w:t>
      </w:r>
      <w:r w:rsidR="00CA69A9" w:rsidRPr="00CA69A9">
        <w:t xml:space="preserve"> Somente</w:t>
      </w:r>
      <w:r w:rsidR="00CA69A9">
        <w:t xml:space="preserve"> serviços de</w:t>
      </w:r>
      <w:r w:rsidR="00CA69A9" w:rsidRPr="00CA69A9">
        <w:t xml:space="preserve"> </w:t>
      </w:r>
      <w:r w:rsidRPr="00CA69A9">
        <w:t xml:space="preserve">mão de obra </w:t>
      </w:r>
      <w:r w:rsidR="00CA69A9" w:rsidRPr="00CA69A9">
        <w:t>para execução dos serviços.</w:t>
      </w:r>
    </w:p>
    <w:p w:rsidR="00040D85" w:rsidRPr="00CA69A9" w:rsidRDefault="00040D85" w:rsidP="00040D85">
      <w:pPr>
        <w:rPr>
          <w:b/>
        </w:rPr>
      </w:pPr>
      <w:r w:rsidRPr="00CA69A9">
        <w:rPr>
          <w:b/>
          <w:bCs/>
        </w:rPr>
        <w:t>Data:</w:t>
      </w:r>
      <w:r w:rsidRPr="00CA69A9">
        <w:rPr>
          <w:b/>
        </w:rPr>
        <w:t xml:space="preserve"> </w:t>
      </w:r>
      <w:r w:rsidR="00CA69A9" w:rsidRPr="00CA69A9">
        <w:rPr>
          <w:b/>
          <w:bCs/>
          <w:iCs/>
        </w:rPr>
        <w:t>12/03/</w:t>
      </w:r>
      <w:r w:rsidRPr="00CA69A9">
        <w:rPr>
          <w:b/>
        </w:rPr>
        <w:t>2026</w:t>
      </w:r>
      <w:r w:rsidRPr="00CA69A9">
        <w:rPr>
          <w:b/>
        </w:rPr>
        <w:br/>
      </w:r>
      <w:r w:rsidRPr="00CA69A9">
        <w:rPr>
          <w:b/>
          <w:bCs/>
        </w:rPr>
        <w:t>Responsável Técnico:</w:t>
      </w:r>
      <w:r w:rsidR="00CA69A9" w:rsidRPr="00CA69A9">
        <w:rPr>
          <w:b/>
          <w:bCs/>
        </w:rPr>
        <w:t xml:space="preserve"> Fábio Júnior de Oliveira, Diretor do Departamento de Obras e Serviços Urbanos, Matricula 523-1/4</w:t>
      </w:r>
    </w:p>
    <w:p w:rsidR="00040D85" w:rsidRPr="002B4516" w:rsidRDefault="00040D85" w:rsidP="00040D85">
      <w:pPr>
        <w:rPr>
          <w:b/>
          <w:bCs/>
        </w:rPr>
      </w:pPr>
      <w:r w:rsidRPr="002B4516">
        <w:rPr>
          <w:b/>
          <w:bCs/>
        </w:rPr>
        <w:t>1. Fundamentação legal do ETP</w:t>
      </w:r>
    </w:p>
    <w:p w:rsidR="00040D85" w:rsidRPr="002B4516" w:rsidRDefault="00040D85" w:rsidP="00040D85">
      <w:r w:rsidRPr="002B4516">
        <w:t xml:space="preserve">Este Estudo Técnico Preliminar tem por base os dispositivos da </w:t>
      </w:r>
      <w:r w:rsidRPr="002B4516">
        <w:rPr>
          <w:b/>
          <w:bCs/>
        </w:rPr>
        <w:t>Lei Federal nº 14.133/2021</w:t>
      </w:r>
      <w:r w:rsidRPr="002B4516">
        <w:t>, especialmente:</w:t>
      </w:r>
    </w:p>
    <w:p w:rsidR="00040D85" w:rsidRPr="002B4516" w:rsidRDefault="00040D85" w:rsidP="00040D85">
      <w:pPr>
        <w:numPr>
          <w:ilvl w:val="0"/>
          <w:numId w:val="21"/>
        </w:numPr>
        <w:spacing w:after="160" w:line="259" w:lineRule="auto"/>
      </w:pPr>
      <w:r w:rsidRPr="002B4516">
        <w:rPr>
          <w:b/>
          <w:bCs/>
        </w:rPr>
        <w:t>Art. 6º, XXVI</w:t>
      </w:r>
      <w:r w:rsidRPr="002B4516">
        <w:t xml:space="preserve"> — prevê o Estudo Técnico Preliminar como elemento de fase preparatória do procedimento licitatório;</w:t>
      </w:r>
    </w:p>
    <w:p w:rsidR="00040D85" w:rsidRPr="002B4516" w:rsidRDefault="00040D85" w:rsidP="00040D85">
      <w:pPr>
        <w:numPr>
          <w:ilvl w:val="0"/>
          <w:numId w:val="21"/>
        </w:numPr>
        <w:spacing w:after="160" w:line="259" w:lineRule="auto"/>
      </w:pPr>
      <w:r w:rsidRPr="002B4516">
        <w:rPr>
          <w:b/>
          <w:bCs/>
        </w:rPr>
        <w:t>Art. 17</w:t>
      </w:r>
      <w:r w:rsidRPr="002B4516">
        <w:t xml:space="preserve"> — dispõe sobre a modalidade de licitação e preferência pelo </w:t>
      </w:r>
      <w:r w:rsidRPr="002B4516">
        <w:rPr>
          <w:b/>
          <w:bCs/>
        </w:rPr>
        <w:t>pregão eletrônico</w:t>
      </w:r>
      <w:r w:rsidRPr="002B4516">
        <w:t xml:space="preserve"> quando o objeto for bem ou serviço comum;</w:t>
      </w:r>
    </w:p>
    <w:p w:rsidR="00040D85" w:rsidRPr="002B4516" w:rsidRDefault="00040D85" w:rsidP="00040D85">
      <w:pPr>
        <w:numPr>
          <w:ilvl w:val="0"/>
          <w:numId w:val="21"/>
        </w:numPr>
        <w:spacing w:after="160" w:line="259" w:lineRule="auto"/>
      </w:pPr>
      <w:r w:rsidRPr="002B4516">
        <w:rPr>
          <w:b/>
          <w:bCs/>
        </w:rPr>
        <w:t>Art. 18</w:t>
      </w:r>
      <w:r w:rsidRPr="002B4516">
        <w:t xml:space="preserve"> — define o conteúdo e requisitos mínimos do ETP;</w:t>
      </w:r>
    </w:p>
    <w:p w:rsidR="00040D85" w:rsidRPr="002B4516" w:rsidRDefault="00040D85" w:rsidP="00040D85">
      <w:pPr>
        <w:numPr>
          <w:ilvl w:val="0"/>
          <w:numId w:val="21"/>
        </w:numPr>
        <w:spacing w:after="160" w:line="259" w:lineRule="auto"/>
      </w:pPr>
      <w:r w:rsidRPr="002B4516">
        <w:rPr>
          <w:b/>
          <w:bCs/>
        </w:rPr>
        <w:t>Art. 25 e 36</w:t>
      </w:r>
      <w:r w:rsidRPr="002B4516">
        <w:t xml:space="preserve"> — tratam dos critérios de julgamento e habilitação;</w:t>
      </w:r>
    </w:p>
    <w:p w:rsidR="00040D85" w:rsidRPr="002B4516" w:rsidRDefault="00040D85" w:rsidP="00040D85">
      <w:pPr>
        <w:numPr>
          <w:ilvl w:val="0"/>
          <w:numId w:val="21"/>
        </w:numPr>
        <w:spacing w:after="160" w:line="259" w:lineRule="auto"/>
      </w:pPr>
      <w:r w:rsidRPr="002B4516">
        <w:rPr>
          <w:b/>
          <w:bCs/>
        </w:rPr>
        <w:t>Art. 78, IV</w:t>
      </w:r>
      <w:r w:rsidRPr="002B4516">
        <w:t xml:space="preserve"> — possibilita uso de Sistema de Registro de Preços quando pertinente à natureza do objeto;</w:t>
      </w:r>
    </w:p>
    <w:p w:rsidR="00040D85" w:rsidRPr="002B4516" w:rsidRDefault="00040D85" w:rsidP="00040D85">
      <w:pPr>
        <w:numPr>
          <w:ilvl w:val="0"/>
          <w:numId w:val="21"/>
        </w:numPr>
        <w:spacing w:after="160" w:line="259" w:lineRule="auto"/>
      </w:pPr>
      <w:r w:rsidRPr="002B4516">
        <w:t>Demais dispositivos correlatos da Lei nº 14.133/2021</w:t>
      </w:r>
    </w:p>
    <w:p w:rsidR="00040D85" w:rsidRPr="002B4516" w:rsidRDefault="00040D85" w:rsidP="00040D85">
      <w:pPr>
        <w:rPr>
          <w:b/>
          <w:bCs/>
        </w:rPr>
      </w:pPr>
      <w:r w:rsidRPr="002B4516">
        <w:rPr>
          <w:b/>
          <w:bCs/>
        </w:rPr>
        <w:t>2. Descrição da necessidade</w:t>
      </w:r>
    </w:p>
    <w:p w:rsidR="00CA69A9" w:rsidRPr="00CA69A9" w:rsidRDefault="00040D85" w:rsidP="00040D85">
      <w:pPr>
        <w:numPr>
          <w:ilvl w:val="0"/>
          <w:numId w:val="22"/>
        </w:numPr>
        <w:spacing w:after="160" w:line="259" w:lineRule="auto"/>
      </w:pPr>
      <w:r w:rsidRPr="00CA69A9">
        <w:rPr>
          <w:b/>
          <w:bCs/>
        </w:rPr>
        <w:t>Necessidade</w:t>
      </w:r>
      <w:r w:rsidRPr="002B4516">
        <w:t>: execução de serviços de pintura (interna e externa) em edifícios públicos municipais, incluindo preparação das superfícies, aplicação de produtos compatíveis com cada tipo de revestimento e acabamento com materiais adequados.</w:t>
      </w:r>
      <w:r w:rsidRPr="00CA69A9">
        <w:rPr>
          <w:color w:val="EE0000"/>
        </w:rPr>
        <w:t xml:space="preserve"> </w:t>
      </w:r>
      <w:r w:rsidR="00CA69A9" w:rsidRPr="00CA69A9">
        <w:t>Somente</w:t>
      </w:r>
      <w:r w:rsidR="00CA69A9">
        <w:t xml:space="preserve"> serviços de</w:t>
      </w:r>
      <w:r w:rsidR="00CA69A9" w:rsidRPr="00CA69A9">
        <w:t xml:space="preserve"> mão de obra para execução dos serviços</w:t>
      </w:r>
      <w:r w:rsidR="00CA69A9" w:rsidRPr="00CA69A9">
        <w:rPr>
          <w:b/>
          <w:bCs/>
        </w:rPr>
        <w:t xml:space="preserve"> </w:t>
      </w:r>
    </w:p>
    <w:p w:rsidR="00040D85" w:rsidRPr="002B4516" w:rsidRDefault="00040D85" w:rsidP="00040D85">
      <w:pPr>
        <w:numPr>
          <w:ilvl w:val="0"/>
          <w:numId w:val="22"/>
        </w:numPr>
        <w:spacing w:after="160" w:line="259" w:lineRule="auto"/>
      </w:pPr>
      <w:r w:rsidRPr="00CA69A9">
        <w:rPr>
          <w:b/>
          <w:bCs/>
        </w:rPr>
        <w:t>Justificativa</w:t>
      </w:r>
      <w:r w:rsidRPr="002B4516">
        <w:t>: preservação do patrimônio público, proteção contra intempéries, valorização estética e segurança dos usuários destes espaços.</w:t>
      </w:r>
    </w:p>
    <w:p w:rsidR="00040D85" w:rsidRPr="002B4516" w:rsidRDefault="00040D85" w:rsidP="00040D85">
      <w:pPr>
        <w:numPr>
          <w:ilvl w:val="0"/>
          <w:numId w:val="22"/>
        </w:numPr>
        <w:spacing w:after="160" w:line="259" w:lineRule="auto"/>
      </w:pPr>
      <w:r w:rsidRPr="002B4516">
        <w:rPr>
          <w:b/>
          <w:bCs/>
        </w:rPr>
        <w:t>Diagnóstico de demanda</w:t>
      </w:r>
      <w:r w:rsidRPr="002B4516">
        <w:t xml:space="preserve">: ausência de equipe interna qualificada e estruturada para execução integral dos serviços de pintura, o que torna imprescindível a contratação especializada. </w:t>
      </w:r>
    </w:p>
    <w:p w:rsidR="00040D85" w:rsidRPr="002B4516" w:rsidRDefault="00040D85" w:rsidP="00040D85"/>
    <w:p w:rsidR="00040D85" w:rsidRPr="002B4516" w:rsidRDefault="00040D85" w:rsidP="00040D85">
      <w:pPr>
        <w:rPr>
          <w:b/>
          <w:bCs/>
        </w:rPr>
      </w:pPr>
      <w:r w:rsidRPr="002B4516">
        <w:rPr>
          <w:b/>
          <w:bCs/>
        </w:rPr>
        <w:t>3. Análise de alternativas de solução</w:t>
      </w:r>
    </w:p>
    <w:p w:rsidR="00040D85" w:rsidRPr="002B4516" w:rsidRDefault="00040D85" w:rsidP="00040D85">
      <w:r w:rsidRPr="002B4516">
        <w:t>Foram analisadas três alternativas para contratação do objeto:</w:t>
      </w:r>
    </w:p>
    <w:p w:rsidR="00040D85" w:rsidRPr="002B4516" w:rsidRDefault="00040D85" w:rsidP="00040D85">
      <w:r w:rsidRPr="002B4516">
        <w:rPr>
          <w:b/>
          <w:bCs/>
        </w:rPr>
        <w:t>Alternativa A – Contratação direta por dispensa de licitação:</w:t>
      </w:r>
    </w:p>
    <w:p w:rsidR="00040D85" w:rsidRPr="002B4516" w:rsidRDefault="00040D85" w:rsidP="00040D85">
      <w:pPr>
        <w:numPr>
          <w:ilvl w:val="0"/>
          <w:numId w:val="23"/>
        </w:numPr>
        <w:spacing w:after="160" w:line="259" w:lineRule="auto"/>
      </w:pPr>
      <w:r w:rsidRPr="002B4516">
        <w:rPr>
          <w:b/>
          <w:bCs/>
        </w:rPr>
        <w:t>Vantagem:</w:t>
      </w:r>
      <w:r w:rsidRPr="002B4516">
        <w:t xml:space="preserve"> menor formalidade.</w:t>
      </w:r>
    </w:p>
    <w:p w:rsidR="00040D85" w:rsidRPr="002B4516" w:rsidRDefault="00040D85" w:rsidP="00040D85">
      <w:pPr>
        <w:numPr>
          <w:ilvl w:val="0"/>
          <w:numId w:val="23"/>
        </w:numPr>
        <w:spacing w:after="160" w:line="259" w:lineRule="auto"/>
      </w:pPr>
      <w:r w:rsidRPr="002B4516">
        <w:rPr>
          <w:b/>
          <w:bCs/>
        </w:rPr>
        <w:lastRenderedPageBreak/>
        <w:t>Desvantagem:</w:t>
      </w:r>
      <w:r w:rsidRPr="002B4516">
        <w:t xml:space="preserve"> só é aplicável quando o valor estimado for inferior ao limite legal de dispensa (p.ex., serviços gerais até valores previstos no art. 75, II da Lei 14.133/2021), o que, neste caso, </w:t>
      </w:r>
      <w:r w:rsidRPr="002B4516">
        <w:rPr>
          <w:i/>
          <w:iCs/>
        </w:rPr>
        <w:t>não é possível</w:t>
      </w:r>
      <w:r w:rsidRPr="002B4516">
        <w:t xml:space="preserve"> se o escopo de pintura abranger todos os prédios públicos e resultar em valor superior ao limite (situação provável).</w:t>
      </w:r>
    </w:p>
    <w:p w:rsidR="00040D85" w:rsidRPr="002B4516" w:rsidRDefault="00040D85" w:rsidP="00040D85">
      <w:pPr>
        <w:numPr>
          <w:ilvl w:val="0"/>
          <w:numId w:val="23"/>
        </w:numPr>
        <w:spacing w:after="160" w:line="259" w:lineRule="auto"/>
      </w:pPr>
      <w:r w:rsidRPr="002B4516">
        <w:rPr>
          <w:b/>
          <w:bCs/>
        </w:rPr>
        <w:t>Conclusão:</w:t>
      </w:r>
      <w:r w:rsidRPr="002B4516">
        <w:t xml:space="preserve"> não atende integralmente a necessidade devido ao valor estimado e ao princípio da competitividade.</w:t>
      </w:r>
    </w:p>
    <w:p w:rsidR="00040D85" w:rsidRPr="002B4516" w:rsidRDefault="00040D85" w:rsidP="00040D85">
      <w:r w:rsidRPr="002B4516">
        <w:rPr>
          <w:b/>
          <w:bCs/>
        </w:rPr>
        <w:t>Alternativa B – Concorrência Pública:</w:t>
      </w:r>
    </w:p>
    <w:p w:rsidR="00040D85" w:rsidRPr="002B4516" w:rsidRDefault="00040D85" w:rsidP="00040D85">
      <w:pPr>
        <w:numPr>
          <w:ilvl w:val="0"/>
          <w:numId w:val="24"/>
        </w:numPr>
        <w:spacing w:after="160" w:line="259" w:lineRule="auto"/>
      </w:pPr>
      <w:r w:rsidRPr="002B4516">
        <w:rPr>
          <w:b/>
          <w:bCs/>
        </w:rPr>
        <w:t>Vantagem:</w:t>
      </w:r>
      <w:r w:rsidRPr="002B4516">
        <w:t xml:space="preserve"> adequada para grandes serviços de engenharia ou obras complexas.</w:t>
      </w:r>
    </w:p>
    <w:p w:rsidR="00040D85" w:rsidRPr="002B4516" w:rsidRDefault="00040D85" w:rsidP="00040D85">
      <w:pPr>
        <w:numPr>
          <w:ilvl w:val="0"/>
          <w:numId w:val="24"/>
        </w:numPr>
        <w:spacing w:after="160" w:line="259" w:lineRule="auto"/>
      </w:pPr>
      <w:r w:rsidRPr="002B4516">
        <w:rPr>
          <w:b/>
          <w:bCs/>
        </w:rPr>
        <w:t>Desvantagem:</w:t>
      </w:r>
      <w:r w:rsidRPr="002B4516">
        <w:t xml:space="preserve"> processo mais complexo, com maiores prazos e custos administrativos, sem contrapartida relevante em termos de competitividade para serviço de pintura que pode ser objetivamente especificado.</w:t>
      </w:r>
    </w:p>
    <w:p w:rsidR="00040D85" w:rsidRPr="002B4516" w:rsidRDefault="00040D85" w:rsidP="00040D85">
      <w:pPr>
        <w:numPr>
          <w:ilvl w:val="0"/>
          <w:numId w:val="24"/>
        </w:numPr>
        <w:spacing w:after="160" w:line="259" w:lineRule="auto"/>
      </w:pPr>
      <w:r w:rsidRPr="002B4516">
        <w:rPr>
          <w:b/>
          <w:bCs/>
        </w:rPr>
        <w:t>Conclusão:</w:t>
      </w:r>
      <w:r w:rsidRPr="002B4516">
        <w:t xml:space="preserve"> opção desproporcional ao objeto (serviço comum).</w:t>
      </w:r>
    </w:p>
    <w:p w:rsidR="00040D85" w:rsidRPr="002B4516" w:rsidRDefault="00040D85" w:rsidP="00040D85">
      <w:r w:rsidRPr="002B4516">
        <w:rPr>
          <w:b/>
          <w:bCs/>
        </w:rPr>
        <w:t xml:space="preserve">Alternativa C – </w:t>
      </w:r>
      <w:r w:rsidRPr="002B4516">
        <w:rPr>
          <w:b/>
          <w:bCs/>
          <w:i/>
          <w:iCs/>
        </w:rPr>
        <w:t>Pregão Eletrônico</w:t>
      </w:r>
    </w:p>
    <w:p w:rsidR="00040D85" w:rsidRPr="002B4516" w:rsidRDefault="00040D85" w:rsidP="00040D85">
      <w:pPr>
        <w:numPr>
          <w:ilvl w:val="0"/>
          <w:numId w:val="25"/>
        </w:numPr>
        <w:spacing w:after="160" w:line="259" w:lineRule="auto"/>
      </w:pPr>
      <w:r w:rsidRPr="002B4516">
        <w:rPr>
          <w:b/>
          <w:bCs/>
        </w:rPr>
        <w:t>Vantagem:</w:t>
      </w:r>
      <w:r w:rsidRPr="002B4516">
        <w:t xml:space="preserve"> modalidade adequada para serviços considerados </w:t>
      </w:r>
      <w:r w:rsidRPr="002B4516">
        <w:rPr>
          <w:b/>
          <w:bCs/>
        </w:rPr>
        <w:t>comuns</w:t>
      </w:r>
      <w:r w:rsidRPr="002B4516">
        <w:t>, com especificações objetivas e usualmente reconhecidos no mercado; possibilita ampla competitividade, redução de preços, transparência, agilidade e publicidade (inclusive em plataformas eletrônicas).</w:t>
      </w:r>
    </w:p>
    <w:p w:rsidR="00040D85" w:rsidRPr="002B4516" w:rsidRDefault="00040D85" w:rsidP="00040D85">
      <w:pPr>
        <w:numPr>
          <w:ilvl w:val="0"/>
          <w:numId w:val="25"/>
        </w:numPr>
        <w:spacing w:after="160" w:line="259" w:lineRule="auto"/>
      </w:pPr>
      <w:r w:rsidRPr="002B4516">
        <w:rPr>
          <w:b/>
          <w:bCs/>
        </w:rPr>
        <w:t>Desvantagem:</w:t>
      </w:r>
      <w:r w:rsidRPr="002B4516">
        <w:t xml:space="preserve"> demanda cuidado na definição técnica do objeto.</w:t>
      </w:r>
    </w:p>
    <w:p w:rsidR="00040D85" w:rsidRPr="002B4516" w:rsidRDefault="00040D85" w:rsidP="00040D85">
      <w:pPr>
        <w:numPr>
          <w:ilvl w:val="0"/>
          <w:numId w:val="25"/>
        </w:numPr>
        <w:spacing w:after="160" w:line="259" w:lineRule="auto"/>
      </w:pPr>
      <w:r w:rsidRPr="002B4516">
        <w:rPr>
          <w:b/>
          <w:bCs/>
        </w:rPr>
        <w:t>Conclusão:</w:t>
      </w:r>
      <w:r w:rsidRPr="002B4516">
        <w:t xml:space="preserve"> </w:t>
      </w:r>
      <w:r w:rsidRPr="002B4516">
        <w:rPr>
          <w:b/>
          <w:bCs/>
        </w:rPr>
        <w:t>alternativa mais vantajosa e eficiente</w:t>
      </w:r>
      <w:r w:rsidRPr="002B4516">
        <w:t xml:space="preserve"> para esta contratação, observando o princípio constitucional da eficiência e a preferência legal pelo pregão eletrônico para serviços comuns.</w:t>
      </w:r>
    </w:p>
    <w:p w:rsidR="00040D85" w:rsidRPr="002B4516" w:rsidRDefault="00040D85" w:rsidP="00040D85">
      <w:pPr>
        <w:rPr>
          <w:b/>
          <w:bCs/>
        </w:rPr>
      </w:pPr>
      <w:r w:rsidRPr="002B4516">
        <w:rPr>
          <w:b/>
          <w:bCs/>
        </w:rPr>
        <w:t>4. Caracterização do objeto e definição como serviço comum</w:t>
      </w:r>
    </w:p>
    <w:p w:rsidR="00040D85" w:rsidRPr="002B4516" w:rsidRDefault="00040D85" w:rsidP="00040D85">
      <w:pPr>
        <w:numPr>
          <w:ilvl w:val="0"/>
          <w:numId w:val="26"/>
        </w:numPr>
        <w:spacing w:after="160" w:line="259" w:lineRule="auto"/>
      </w:pPr>
      <w:r w:rsidRPr="002B4516">
        <w:t xml:space="preserve">Os serviços de pintura predial são caracterizados por rotinas técnicas uniformes (preparo de superfícies, aplicação de tintas e revestimentos) e com padrões de desempenho e qualidade que podem ser </w:t>
      </w:r>
      <w:r w:rsidRPr="002B4516">
        <w:rPr>
          <w:b/>
          <w:bCs/>
        </w:rPr>
        <w:t>objetivamente definidos por especificações usuais de mercado</w:t>
      </w:r>
      <w:r w:rsidRPr="002B4516">
        <w:t xml:space="preserve"> (tipo de tinta, número de demãos, tempo de secagem etc.).</w:t>
      </w:r>
    </w:p>
    <w:p w:rsidR="00040D85" w:rsidRPr="002B4516" w:rsidRDefault="00040D85" w:rsidP="00040D85">
      <w:pPr>
        <w:numPr>
          <w:ilvl w:val="0"/>
          <w:numId w:val="26"/>
        </w:numPr>
        <w:spacing w:after="160" w:line="259" w:lineRule="auto"/>
      </w:pPr>
      <w:r w:rsidRPr="002B4516">
        <w:t xml:space="preserve">Conforme interpretação consolidada para fins de licitação sob a Lei nº 14.133/2021, serviços que podem ser perfeitamente especificados por desempenho e atributos usuais de mercado são considerados </w:t>
      </w:r>
      <w:r w:rsidRPr="002B4516">
        <w:rPr>
          <w:b/>
          <w:bCs/>
        </w:rPr>
        <w:t>serviços comuns</w:t>
      </w:r>
      <w:r w:rsidRPr="002B4516">
        <w:t xml:space="preserve">, passíveis de licitação na modalidade de </w:t>
      </w:r>
      <w:r w:rsidRPr="002B4516">
        <w:rPr>
          <w:b/>
          <w:bCs/>
        </w:rPr>
        <w:t>pregão eletrônico</w:t>
      </w:r>
      <w:r w:rsidRPr="002B4516">
        <w:t xml:space="preserve">. </w:t>
      </w:r>
    </w:p>
    <w:p w:rsidR="00040D85" w:rsidRPr="002B4516" w:rsidRDefault="00040D85" w:rsidP="00040D85"/>
    <w:p w:rsidR="00040D85" w:rsidRDefault="00040D85" w:rsidP="00040D85">
      <w:pPr>
        <w:rPr>
          <w:b/>
          <w:bCs/>
        </w:rPr>
      </w:pPr>
      <w:r w:rsidRPr="002B4516">
        <w:rPr>
          <w:b/>
          <w:bCs/>
        </w:rPr>
        <w:t>5. Estimativa de preço e pesquisa de mercado</w:t>
      </w:r>
      <w:r>
        <w:rPr>
          <w:b/>
          <w:bCs/>
        </w:rPr>
        <w:t xml:space="preserve"> e compatibilização PCA</w:t>
      </w:r>
    </w:p>
    <w:p w:rsidR="00040D85" w:rsidRPr="00CA69A9" w:rsidRDefault="00040D85" w:rsidP="00040D85">
      <w:r w:rsidRPr="00CA69A9">
        <w:tab/>
        <w:t>A presente contrata</w:t>
      </w:r>
      <w:r w:rsidR="00CA69A9" w:rsidRPr="00CA69A9">
        <w:t>ção está prevista no PCA 2026, número 42.</w:t>
      </w:r>
    </w:p>
    <w:p w:rsidR="00040D85" w:rsidRDefault="00040D85" w:rsidP="00040D85">
      <w:pPr>
        <w:numPr>
          <w:ilvl w:val="0"/>
          <w:numId w:val="27"/>
        </w:numPr>
        <w:spacing w:after="160" w:line="259" w:lineRule="auto"/>
      </w:pPr>
      <w:r w:rsidRPr="002B4516">
        <w:t xml:space="preserve">Foi realizada pesquisa de mercado preliminar em portais públicos de licitações (ex.: pregões eletrônicos do Estado do Paraná e municípios) que revelem preços praticados em contratações similares para serviços de pintura. Os valores observados foram </w:t>
      </w:r>
      <w:r w:rsidRPr="002B4516">
        <w:lastRenderedPageBreak/>
        <w:t xml:space="preserve">compatíveis com a estimativa local e adequados à realidade do mercado de prestação de serviços de pintura no Paraná. </w:t>
      </w:r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7"/>
        <w:gridCol w:w="6701"/>
        <w:gridCol w:w="851"/>
        <w:gridCol w:w="708"/>
      </w:tblGrid>
      <w:tr w:rsidR="00CA69A9" w:rsidRPr="00E40F3A" w:rsidTr="00E34555">
        <w:trPr>
          <w:trHeight w:val="368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A69A9" w:rsidRPr="00E40F3A" w:rsidRDefault="00CA69A9" w:rsidP="00E3455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40F3A">
              <w:rPr>
                <w:rFonts w:ascii="Arial" w:hAnsi="Arial" w:cs="Arial"/>
                <w:b/>
                <w:bCs/>
                <w:sz w:val="18"/>
                <w:szCs w:val="18"/>
              </w:rPr>
              <w:t>Item</w:t>
            </w:r>
          </w:p>
        </w:tc>
        <w:tc>
          <w:tcPr>
            <w:tcW w:w="6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A69A9" w:rsidRPr="00E40F3A" w:rsidRDefault="00CA69A9" w:rsidP="00E3455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40F3A">
              <w:rPr>
                <w:rFonts w:ascii="Arial" w:hAnsi="Arial" w:cs="Arial"/>
                <w:b/>
                <w:bCs/>
                <w:sz w:val="18"/>
                <w:szCs w:val="18"/>
              </w:rPr>
              <w:t>Descrição dos Serviços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A69A9" w:rsidRPr="00E40F3A" w:rsidRDefault="00CA69A9" w:rsidP="00E3455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E40F3A">
              <w:rPr>
                <w:rFonts w:ascii="Arial" w:hAnsi="Arial" w:cs="Arial"/>
                <w:b/>
                <w:bCs/>
                <w:sz w:val="18"/>
                <w:szCs w:val="18"/>
              </w:rPr>
              <w:t>Qtde</w:t>
            </w:r>
            <w:proofErr w:type="spellEnd"/>
            <w:r w:rsidRPr="00E40F3A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A69A9" w:rsidRPr="00E40F3A" w:rsidRDefault="00CA69A9" w:rsidP="00E3455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E40F3A">
              <w:rPr>
                <w:rFonts w:ascii="Arial" w:hAnsi="Arial" w:cs="Arial"/>
                <w:b/>
                <w:bCs/>
                <w:sz w:val="18"/>
                <w:szCs w:val="18"/>
              </w:rPr>
              <w:t>Unid</w:t>
            </w:r>
            <w:proofErr w:type="spellEnd"/>
          </w:p>
        </w:tc>
      </w:tr>
      <w:tr w:rsidR="00CA69A9" w:rsidRPr="00E40F3A" w:rsidTr="00E34555">
        <w:trPr>
          <w:trHeight w:val="984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69A9" w:rsidRPr="00E40F3A" w:rsidRDefault="00CA69A9" w:rsidP="00E345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0F3A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6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69A9" w:rsidRPr="00E40F3A" w:rsidRDefault="00CA69A9" w:rsidP="00E3455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40F3A">
              <w:rPr>
                <w:rFonts w:ascii="Arial" w:hAnsi="Arial" w:cs="Arial"/>
                <w:sz w:val="18"/>
                <w:szCs w:val="18"/>
              </w:rPr>
              <w:t>Mão de obra para pintura lisa em qualquer cor em locais e espaços públicos, inclusive lavagem com jato de água (se necessário), raspagem do material existente e aplicação de fundo, aplicação de 02 (duas) demãos de pintura conforme necessário, os equipamentos, tais como: pincel, rolo, bandeja, espátulas, equipamentos para limpeza, exceto os produtos para limpeza e outros que se façam necessários, serão de responsabilidade da empresa.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69A9" w:rsidRPr="00E40F3A" w:rsidRDefault="00CA69A9" w:rsidP="00E345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  <w:r w:rsidRPr="00E40F3A"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69A9" w:rsidRPr="00E40F3A" w:rsidRDefault="00CA69A9" w:rsidP="00E345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E40F3A">
              <w:rPr>
                <w:rFonts w:ascii="Arial" w:hAnsi="Arial" w:cs="Arial"/>
                <w:sz w:val="18"/>
                <w:szCs w:val="18"/>
              </w:rPr>
              <w:t>m</w:t>
            </w:r>
            <w:proofErr w:type="gramEnd"/>
            <w:r w:rsidRPr="00E40F3A">
              <w:rPr>
                <w:rFonts w:ascii="Arial" w:hAnsi="Arial" w:cs="Arial"/>
                <w:sz w:val="18"/>
                <w:szCs w:val="18"/>
              </w:rPr>
              <w:t>²</w:t>
            </w:r>
          </w:p>
        </w:tc>
      </w:tr>
      <w:tr w:rsidR="00CA69A9" w:rsidRPr="00E40F3A" w:rsidTr="00E34555">
        <w:trPr>
          <w:trHeight w:val="1211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69A9" w:rsidRPr="00E40F3A" w:rsidRDefault="00CA69A9" w:rsidP="00E345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0F3A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6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69A9" w:rsidRPr="00E40F3A" w:rsidRDefault="00CA69A9" w:rsidP="00E3455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40F3A">
              <w:rPr>
                <w:rFonts w:ascii="Arial" w:hAnsi="Arial" w:cs="Arial"/>
                <w:sz w:val="18"/>
                <w:szCs w:val="18"/>
              </w:rPr>
              <w:t xml:space="preserve">Mão de obra para pintura/aplicação de textura e/ou </w:t>
            </w:r>
            <w:proofErr w:type="spellStart"/>
            <w:r w:rsidRPr="00E40F3A">
              <w:rPr>
                <w:rFonts w:ascii="Arial" w:hAnsi="Arial" w:cs="Arial"/>
                <w:sz w:val="18"/>
                <w:szCs w:val="18"/>
              </w:rPr>
              <w:t>grafiato</w:t>
            </w:r>
            <w:proofErr w:type="spellEnd"/>
            <w:r w:rsidRPr="00E40F3A">
              <w:rPr>
                <w:rFonts w:ascii="Arial" w:hAnsi="Arial" w:cs="Arial"/>
                <w:sz w:val="18"/>
                <w:szCs w:val="18"/>
              </w:rPr>
              <w:t>, mais pintura sobre os mesmos em qualquer cor de prédios públicos, inclusive lavagem com jato de água (se necessário), retirada do material existente e aplicação de fundo, aplicação de 02 (duas) demãos de pintura conforme necessário, os equipamentos, tais como: pincel, rolo, bandeja, espátulas, equipamentos para limpeza, exceto os produtos para limpeza e outros que se façam necessários, serão de responsabilidade da empresa.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69A9" w:rsidRPr="00E40F3A" w:rsidRDefault="00CA69A9" w:rsidP="00E345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Pr="00E40F3A"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69A9" w:rsidRPr="00E40F3A" w:rsidRDefault="00CA69A9" w:rsidP="00E345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E40F3A">
              <w:rPr>
                <w:rFonts w:ascii="Arial" w:hAnsi="Arial" w:cs="Arial"/>
                <w:sz w:val="18"/>
                <w:szCs w:val="18"/>
              </w:rPr>
              <w:t>m</w:t>
            </w:r>
            <w:proofErr w:type="gramEnd"/>
            <w:r w:rsidRPr="00E40F3A">
              <w:rPr>
                <w:rFonts w:ascii="Arial" w:hAnsi="Arial" w:cs="Arial"/>
                <w:sz w:val="18"/>
                <w:szCs w:val="18"/>
              </w:rPr>
              <w:t>²</w:t>
            </w:r>
          </w:p>
        </w:tc>
      </w:tr>
      <w:tr w:rsidR="00CA69A9" w:rsidRPr="00E40F3A" w:rsidTr="00E34555">
        <w:trPr>
          <w:trHeight w:val="558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69A9" w:rsidRPr="00E40F3A" w:rsidRDefault="00CA69A9" w:rsidP="00E345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0F3A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6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69A9" w:rsidRPr="00E40F3A" w:rsidRDefault="00CA69A9" w:rsidP="00E3455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40F3A">
              <w:rPr>
                <w:rFonts w:ascii="Arial" w:hAnsi="Arial" w:cs="Arial"/>
                <w:sz w:val="18"/>
                <w:szCs w:val="18"/>
              </w:rPr>
              <w:t>Mão de obra para aplicação de 02 (duas) demãos de massa corrida PVA e/ou ACRÍLICA, interna ou externa, teto e/ou paredes, limpeza/lavagem se necessário, raspagem do material existente e aplicação de fundo, em locais públicos, os equipamentos, tais como: pincel, rolo, bandeja, espátulas, equipamentos para limpeza, exceto os produtos para limpeza e outros que se façam necessários, serão de responsabilidade da empresa.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69A9" w:rsidRPr="00E40F3A" w:rsidRDefault="00CA69A9" w:rsidP="00E345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Pr="00E40F3A"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69A9" w:rsidRPr="00E40F3A" w:rsidRDefault="00CA69A9" w:rsidP="00E345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E40F3A">
              <w:rPr>
                <w:rFonts w:ascii="Arial" w:hAnsi="Arial" w:cs="Arial"/>
                <w:sz w:val="18"/>
                <w:szCs w:val="18"/>
              </w:rPr>
              <w:t>m</w:t>
            </w:r>
            <w:proofErr w:type="gramEnd"/>
            <w:r w:rsidRPr="00E40F3A">
              <w:rPr>
                <w:rFonts w:ascii="Arial" w:hAnsi="Arial" w:cs="Arial"/>
                <w:sz w:val="18"/>
                <w:szCs w:val="18"/>
              </w:rPr>
              <w:t>²</w:t>
            </w:r>
          </w:p>
        </w:tc>
      </w:tr>
      <w:tr w:rsidR="00CA69A9" w:rsidRPr="00E40F3A" w:rsidTr="00E34555">
        <w:trPr>
          <w:trHeight w:val="903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69A9" w:rsidRPr="00E40F3A" w:rsidRDefault="00CA69A9" w:rsidP="00E345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0F3A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6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69A9" w:rsidRPr="00E40F3A" w:rsidRDefault="00CA69A9" w:rsidP="00E3455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40F3A">
              <w:rPr>
                <w:rFonts w:ascii="Arial" w:hAnsi="Arial" w:cs="Arial"/>
                <w:sz w:val="18"/>
                <w:szCs w:val="18"/>
              </w:rPr>
              <w:t>Mão de obra para pintura, sendo 02 (duas) demãos em grades metálicas, limpeza/lavagem, aplicação de materiais para remoção de ferrugem, raspagem do material existente e aplicação de fundo em locais públicos, os equipamentos, tais como: pincel, rolo, bandeja, equipamentos para limpeza, exceto os produtos para limpeza e outros que se façam necessários, serão de responsabilidade da empresa.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69A9" w:rsidRPr="00E40F3A" w:rsidRDefault="00CA69A9" w:rsidP="00E345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0F3A">
              <w:rPr>
                <w:rFonts w:ascii="Arial" w:hAnsi="Arial" w:cs="Arial"/>
                <w:sz w:val="18"/>
                <w:szCs w:val="18"/>
              </w:rPr>
              <w:t>4.000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69A9" w:rsidRPr="00E40F3A" w:rsidRDefault="00CA69A9" w:rsidP="00E345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E40F3A">
              <w:rPr>
                <w:rFonts w:ascii="Arial" w:hAnsi="Arial" w:cs="Arial"/>
                <w:sz w:val="18"/>
                <w:szCs w:val="18"/>
              </w:rPr>
              <w:t>m</w:t>
            </w:r>
            <w:proofErr w:type="gramEnd"/>
            <w:r w:rsidRPr="00E40F3A">
              <w:rPr>
                <w:rFonts w:ascii="Arial" w:hAnsi="Arial" w:cs="Arial"/>
                <w:sz w:val="18"/>
                <w:szCs w:val="18"/>
              </w:rPr>
              <w:t>²</w:t>
            </w:r>
          </w:p>
        </w:tc>
      </w:tr>
      <w:tr w:rsidR="00CA69A9" w:rsidRPr="00E40F3A" w:rsidTr="00E34555">
        <w:trPr>
          <w:trHeight w:val="989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A69A9" w:rsidRPr="00E40F3A" w:rsidRDefault="00CA69A9" w:rsidP="00E345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0F3A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6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A69A9" w:rsidRPr="00E40F3A" w:rsidRDefault="00CA69A9" w:rsidP="00E3455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40F3A">
              <w:rPr>
                <w:rFonts w:ascii="Arial" w:hAnsi="Arial" w:cs="Arial"/>
                <w:sz w:val="18"/>
                <w:szCs w:val="18"/>
              </w:rPr>
              <w:t>Mao de obra para pintura EPÓXI de pisos, paredes e/ou tetos, em edificações e/ou locais públicos, incluindo limpeza/lavagem, raspagem do material existente e aplicação de fundo, aplicação de 02 (duas) demãos de pintura conforme necessário, os equipamentos, tais como: pincel, rolo, bandeja, equipamentos para limpeza, exceto os produtos para limpeza e outros que se façam necessários, serão de responsabilidade da empresa.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A69A9" w:rsidRPr="00E40F3A" w:rsidRDefault="00CA69A9" w:rsidP="00E345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Pr="00E40F3A"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A69A9" w:rsidRPr="00E40F3A" w:rsidRDefault="00CA69A9" w:rsidP="00E345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E40F3A">
              <w:rPr>
                <w:rFonts w:ascii="Arial" w:hAnsi="Arial" w:cs="Arial"/>
                <w:sz w:val="18"/>
                <w:szCs w:val="18"/>
              </w:rPr>
              <w:t>m</w:t>
            </w:r>
            <w:proofErr w:type="gramEnd"/>
            <w:r w:rsidRPr="00E40F3A">
              <w:rPr>
                <w:rFonts w:ascii="Arial" w:hAnsi="Arial" w:cs="Arial"/>
                <w:sz w:val="18"/>
                <w:szCs w:val="18"/>
              </w:rPr>
              <w:t>²</w:t>
            </w:r>
          </w:p>
        </w:tc>
      </w:tr>
      <w:tr w:rsidR="00CA69A9" w:rsidRPr="00E40F3A" w:rsidTr="00E34555">
        <w:trPr>
          <w:trHeight w:val="989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A69A9" w:rsidRPr="00E40F3A" w:rsidRDefault="00CA69A9" w:rsidP="00E345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0F3A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6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A69A9" w:rsidRPr="00E40F3A" w:rsidRDefault="00CA69A9" w:rsidP="00E3455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40F3A">
              <w:rPr>
                <w:rFonts w:ascii="Arial" w:hAnsi="Arial" w:cs="Arial"/>
                <w:sz w:val="18"/>
                <w:szCs w:val="18"/>
              </w:rPr>
              <w:t>Mao de obra para pintura de pisos/</w:t>
            </w:r>
            <w:proofErr w:type="spellStart"/>
            <w:r w:rsidRPr="00E40F3A">
              <w:rPr>
                <w:rFonts w:ascii="Arial" w:hAnsi="Arial" w:cs="Arial"/>
                <w:sz w:val="18"/>
                <w:szCs w:val="18"/>
              </w:rPr>
              <w:t>paver</w:t>
            </w:r>
            <w:proofErr w:type="spellEnd"/>
            <w:r w:rsidRPr="00E40F3A">
              <w:rPr>
                <w:rFonts w:ascii="Arial" w:hAnsi="Arial" w:cs="Arial"/>
                <w:sz w:val="18"/>
                <w:szCs w:val="18"/>
              </w:rPr>
              <w:t xml:space="preserve"> em prédios públicos, limpeza/lavagem, aplicação de 02 (duas) demãos de pintura conforme necessário, raspagem do material existente e aplicação de fundo, os equipamentos, tais como: pincel, rolo, bandeja, equipamentos para limpeza, exceto os produtos para limpeza e outros que se façam necessários, serão de responsabilidade da empresa.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A69A9" w:rsidRPr="00E40F3A" w:rsidRDefault="00CA69A9" w:rsidP="00CA69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0F3A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Pr="00E40F3A"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A69A9" w:rsidRPr="00E40F3A" w:rsidRDefault="00CA69A9" w:rsidP="00E345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E40F3A">
              <w:rPr>
                <w:rFonts w:ascii="Arial" w:hAnsi="Arial" w:cs="Arial"/>
                <w:sz w:val="18"/>
                <w:szCs w:val="18"/>
              </w:rPr>
              <w:t>m</w:t>
            </w:r>
            <w:proofErr w:type="gramEnd"/>
            <w:r w:rsidRPr="00E40F3A">
              <w:rPr>
                <w:rFonts w:ascii="Arial" w:hAnsi="Arial" w:cs="Arial"/>
                <w:sz w:val="18"/>
                <w:szCs w:val="18"/>
              </w:rPr>
              <w:t>²</w:t>
            </w:r>
          </w:p>
        </w:tc>
      </w:tr>
      <w:tr w:rsidR="00CA69A9" w:rsidRPr="00E40F3A" w:rsidTr="00E34555">
        <w:trPr>
          <w:trHeight w:val="420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69A9" w:rsidRPr="00E40F3A" w:rsidRDefault="00CA69A9" w:rsidP="00E345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0F3A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6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69A9" w:rsidRPr="00E40F3A" w:rsidRDefault="00CA69A9" w:rsidP="00E3455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40F3A">
              <w:rPr>
                <w:rFonts w:ascii="Arial" w:hAnsi="Arial" w:cs="Arial"/>
                <w:sz w:val="18"/>
                <w:szCs w:val="18"/>
              </w:rPr>
              <w:t xml:space="preserve">Mão de obra para pintura, aplicação de 02 (duas) demãos em, muros, telhados cerâmicos, fibrocimento, telhas de aço zincado, </w:t>
            </w:r>
            <w:proofErr w:type="spellStart"/>
            <w:r w:rsidRPr="00E40F3A">
              <w:rPr>
                <w:rFonts w:ascii="Arial" w:hAnsi="Arial" w:cs="Arial"/>
                <w:sz w:val="18"/>
                <w:szCs w:val="18"/>
              </w:rPr>
              <w:t>etc</w:t>
            </w:r>
            <w:proofErr w:type="spellEnd"/>
            <w:r w:rsidRPr="00E40F3A">
              <w:rPr>
                <w:rFonts w:ascii="Arial" w:hAnsi="Arial" w:cs="Arial"/>
                <w:sz w:val="18"/>
                <w:szCs w:val="18"/>
              </w:rPr>
              <w:t>, limpeza/lavagem, raspagem do material existente e aplicação de fundo, em edificações públicas, os equipamentos, tais como: pincel, rolo, bandeja, equipamentos para limpeza, exceto os produtos para limpeza e outros que se façam necessários, serão de responsabilidade da empresa.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69A9" w:rsidRPr="00E40F3A" w:rsidRDefault="00CA69A9" w:rsidP="00E345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  <w:r w:rsidRPr="00E40F3A"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69A9" w:rsidRPr="00E40F3A" w:rsidRDefault="00CA69A9" w:rsidP="00E345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E40F3A">
              <w:rPr>
                <w:rFonts w:ascii="Arial" w:hAnsi="Arial" w:cs="Arial"/>
                <w:sz w:val="18"/>
                <w:szCs w:val="18"/>
              </w:rPr>
              <w:t>m</w:t>
            </w:r>
            <w:proofErr w:type="gramEnd"/>
            <w:r w:rsidRPr="00E40F3A">
              <w:rPr>
                <w:rFonts w:ascii="Arial" w:hAnsi="Arial" w:cs="Arial"/>
                <w:sz w:val="18"/>
                <w:szCs w:val="18"/>
              </w:rPr>
              <w:t>²</w:t>
            </w:r>
          </w:p>
        </w:tc>
      </w:tr>
    </w:tbl>
    <w:p w:rsidR="00040D85" w:rsidRPr="002B4516" w:rsidRDefault="00040D85" w:rsidP="00040D85">
      <w:pPr>
        <w:rPr>
          <w:b/>
          <w:bCs/>
          <w:color w:val="EE0000"/>
        </w:rPr>
      </w:pPr>
    </w:p>
    <w:p w:rsidR="00040D85" w:rsidRPr="002B4516" w:rsidRDefault="00040D85" w:rsidP="00040D85">
      <w:pPr>
        <w:rPr>
          <w:b/>
          <w:bCs/>
        </w:rPr>
      </w:pPr>
      <w:r w:rsidRPr="002B4516">
        <w:rPr>
          <w:b/>
          <w:bCs/>
        </w:rPr>
        <w:t xml:space="preserve">6. Justificativa técnica para adoção do </w:t>
      </w:r>
      <w:r w:rsidRPr="002B4516">
        <w:rPr>
          <w:b/>
          <w:bCs/>
          <w:i/>
          <w:iCs/>
        </w:rPr>
        <w:t>Pregão Eletrônico</w:t>
      </w:r>
    </w:p>
    <w:p w:rsidR="00040D85" w:rsidRPr="002B4516" w:rsidRDefault="00040D85" w:rsidP="00040D85">
      <w:r w:rsidRPr="002B4516">
        <w:t xml:space="preserve">A escolha da modalidade </w:t>
      </w:r>
      <w:r w:rsidRPr="002B4516">
        <w:rPr>
          <w:b/>
          <w:bCs/>
        </w:rPr>
        <w:t>pregão eletrônico</w:t>
      </w:r>
      <w:r w:rsidRPr="002B4516">
        <w:t xml:space="preserve"> como forma de licitação para este serviço é justificada com base nos seguintes fundamentos:</w:t>
      </w:r>
    </w:p>
    <w:p w:rsidR="00040D85" w:rsidRPr="002B4516" w:rsidRDefault="00040D85" w:rsidP="00040D85">
      <w:pPr>
        <w:rPr>
          <w:b/>
          <w:bCs/>
        </w:rPr>
      </w:pPr>
      <w:r w:rsidRPr="002B4516">
        <w:rPr>
          <w:b/>
          <w:bCs/>
        </w:rPr>
        <w:t>6.1. Natureza do objeto</w:t>
      </w:r>
    </w:p>
    <w:p w:rsidR="00040D85" w:rsidRPr="002B4516" w:rsidRDefault="00040D85" w:rsidP="00040D85">
      <w:pPr>
        <w:numPr>
          <w:ilvl w:val="0"/>
          <w:numId w:val="28"/>
        </w:numPr>
        <w:spacing w:after="160" w:line="259" w:lineRule="auto"/>
      </w:pPr>
      <w:r w:rsidRPr="002B4516">
        <w:t>Serviço de pintura predial trata-se de atividade comum com especificações técnicas claras e padronizáveis, sem elevada complexidade técnica que demandaria análise subjetiva de propostas — critério que inviabilizaria modalidades como concorrência ou técnica e preço.</w:t>
      </w:r>
    </w:p>
    <w:p w:rsidR="00040D85" w:rsidRPr="002B4516" w:rsidRDefault="00040D85" w:rsidP="00040D85">
      <w:pPr>
        <w:numPr>
          <w:ilvl w:val="0"/>
          <w:numId w:val="28"/>
        </w:numPr>
        <w:spacing w:after="160" w:line="259" w:lineRule="auto"/>
      </w:pPr>
      <w:r w:rsidRPr="002B4516">
        <w:lastRenderedPageBreak/>
        <w:t xml:space="preserve">A pintura comum pode ser parametrizada por materiais usuais do mercado, métricas de área (m²) e desempenho, permitindo julgamento por </w:t>
      </w:r>
      <w:r w:rsidRPr="002B4516">
        <w:rPr>
          <w:b/>
          <w:bCs/>
        </w:rPr>
        <w:t>menor preço</w:t>
      </w:r>
      <w:r w:rsidRPr="002B4516">
        <w:t>.</w:t>
      </w:r>
    </w:p>
    <w:p w:rsidR="00040D85" w:rsidRPr="002B4516" w:rsidRDefault="00040D85" w:rsidP="00040D85">
      <w:pPr>
        <w:rPr>
          <w:b/>
          <w:bCs/>
        </w:rPr>
      </w:pPr>
      <w:r w:rsidRPr="002B4516">
        <w:rPr>
          <w:b/>
          <w:bCs/>
        </w:rPr>
        <w:t>6.2. Preferência legal pela forma eletrônica</w:t>
      </w:r>
    </w:p>
    <w:p w:rsidR="00040D85" w:rsidRPr="002B4516" w:rsidRDefault="00040D85" w:rsidP="00040D85">
      <w:pPr>
        <w:numPr>
          <w:ilvl w:val="0"/>
          <w:numId w:val="29"/>
        </w:numPr>
        <w:spacing w:after="160" w:line="259" w:lineRule="auto"/>
      </w:pPr>
      <w:r w:rsidRPr="002B4516">
        <w:t xml:space="preserve">A Lei nº 14.133/2021 estabelece que as licitações que utilizem o pregão devem ser realizadas </w:t>
      </w:r>
      <w:r w:rsidRPr="002B4516">
        <w:rPr>
          <w:b/>
          <w:bCs/>
        </w:rPr>
        <w:t>preferencialmente de forma eletrônica</w:t>
      </w:r>
      <w:r w:rsidRPr="002B4516">
        <w:t xml:space="preserve"> (art. 17, §2º), favorecendo transparência, competitividade e ampliação do número de participantes. </w:t>
      </w:r>
    </w:p>
    <w:p w:rsidR="00040D85" w:rsidRPr="002B4516" w:rsidRDefault="00040D85" w:rsidP="00040D85">
      <w:pPr>
        <w:rPr>
          <w:b/>
          <w:bCs/>
        </w:rPr>
      </w:pPr>
      <w:r w:rsidRPr="002B4516">
        <w:rPr>
          <w:b/>
          <w:bCs/>
        </w:rPr>
        <w:t>6.3. Competitividade e economicidade</w:t>
      </w:r>
    </w:p>
    <w:p w:rsidR="00040D85" w:rsidRPr="002B4516" w:rsidRDefault="00040D85" w:rsidP="00040D85">
      <w:pPr>
        <w:numPr>
          <w:ilvl w:val="0"/>
          <w:numId w:val="30"/>
        </w:numPr>
        <w:spacing w:after="160" w:line="259" w:lineRule="auto"/>
      </w:pPr>
      <w:r w:rsidRPr="002B4516">
        <w:t xml:space="preserve">O pregão eletrônico expõe o processo a um público mais amplo de empresas especializadas, o que tende a </w:t>
      </w:r>
      <w:r w:rsidRPr="002B4516">
        <w:rPr>
          <w:b/>
          <w:bCs/>
        </w:rPr>
        <w:t>elevar a competitividade e reduzir o preço final</w:t>
      </w:r>
      <w:r w:rsidRPr="002B4516">
        <w:t>, beneficiando a Administração com maior economia aos cofres públicos, princípio imposto pela própria Lei de Licitações.</w:t>
      </w:r>
    </w:p>
    <w:p w:rsidR="00040D85" w:rsidRPr="002B4516" w:rsidRDefault="00040D85" w:rsidP="00040D85">
      <w:pPr>
        <w:rPr>
          <w:b/>
          <w:bCs/>
        </w:rPr>
      </w:pPr>
      <w:r w:rsidRPr="002B4516">
        <w:rPr>
          <w:b/>
          <w:bCs/>
        </w:rPr>
        <w:t>6.4. Agilidade e segurança jurídica</w:t>
      </w:r>
    </w:p>
    <w:p w:rsidR="00040D85" w:rsidRPr="002B4516" w:rsidRDefault="00040D85" w:rsidP="00040D85">
      <w:pPr>
        <w:numPr>
          <w:ilvl w:val="0"/>
          <w:numId w:val="31"/>
        </w:numPr>
        <w:spacing w:after="160" w:line="259" w:lineRule="auto"/>
      </w:pPr>
      <w:r w:rsidRPr="002B4516">
        <w:t>O uso de plataformas eletrônicas estimula a participação de empresas de diversas localidades, reduz burocracia, amplia transparência, melhora a rastreabilidade dos atos e reduz risco de questionamentos procedimentais.</w:t>
      </w:r>
    </w:p>
    <w:p w:rsidR="00040D85" w:rsidRPr="002B4516" w:rsidRDefault="00040D85" w:rsidP="00040D85"/>
    <w:p w:rsidR="00040D85" w:rsidRPr="002B4516" w:rsidRDefault="00040D85" w:rsidP="00040D85">
      <w:pPr>
        <w:rPr>
          <w:b/>
          <w:bCs/>
        </w:rPr>
      </w:pPr>
      <w:r w:rsidRPr="002B4516">
        <w:rPr>
          <w:b/>
          <w:bCs/>
        </w:rPr>
        <w:t>7. Requisitos técnicos e critérios de julgamento</w:t>
      </w:r>
    </w:p>
    <w:p w:rsidR="00040D85" w:rsidRPr="002B4516" w:rsidRDefault="00040D85" w:rsidP="00040D85">
      <w:pPr>
        <w:numPr>
          <w:ilvl w:val="0"/>
          <w:numId w:val="32"/>
        </w:numPr>
        <w:spacing w:after="160" w:line="259" w:lineRule="auto"/>
      </w:pPr>
      <w:r w:rsidRPr="002B4516">
        <w:rPr>
          <w:b/>
          <w:bCs/>
        </w:rPr>
        <w:t>Habilitação jurídica e regularidade fiscal</w:t>
      </w:r>
      <w:r w:rsidRPr="002B4516">
        <w:t xml:space="preserve"> conforme art. 71 da Lei nº 14.133/2021.</w:t>
      </w:r>
    </w:p>
    <w:p w:rsidR="00040D85" w:rsidRPr="002B4516" w:rsidRDefault="00040D85" w:rsidP="00040D85">
      <w:pPr>
        <w:numPr>
          <w:ilvl w:val="0"/>
          <w:numId w:val="32"/>
        </w:numPr>
        <w:spacing w:after="160" w:line="259" w:lineRule="auto"/>
      </w:pPr>
      <w:r w:rsidRPr="002B4516">
        <w:rPr>
          <w:b/>
          <w:bCs/>
        </w:rPr>
        <w:t>Qualificação técnica</w:t>
      </w:r>
      <w:r w:rsidRPr="002B4516">
        <w:t xml:space="preserve"> compatível com o objeto: atestados de capacidade técnica em serviços de pintura predial, equipe técnica capacitada e comprovação de equipamentos adequados.</w:t>
      </w:r>
    </w:p>
    <w:p w:rsidR="00040D85" w:rsidRPr="002B4516" w:rsidRDefault="00040D85" w:rsidP="00040D85">
      <w:pPr>
        <w:numPr>
          <w:ilvl w:val="0"/>
          <w:numId w:val="32"/>
        </w:numPr>
        <w:spacing w:after="160" w:line="259" w:lineRule="auto"/>
      </w:pPr>
      <w:r w:rsidRPr="002B4516">
        <w:t xml:space="preserve">Critério de julgamento: </w:t>
      </w:r>
      <w:r w:rsidRPr="002B4516">
        <w:rPr>
          <w:b/>
          <w:bCs/>
        </w:rPr>
        <w:t>menor preço por item ou lote</w:t>
      </w:r>
      <w:r w:rsidRPr="002B4516">
        <w:t>, diante da possibilidade objetiva de comparar propostas conforme especificações usuais de mercado.</w:t>
      </w:r>
    </w:p>
    <w:p w:rsidR="00040D85" w:rsidRPr="002B4516" w:rsidRDefault="00040D85" w:rsidP="00040D85"/>
    <w:p w:rsidR="00040D85" w:rsidRPr="002B4516" w:rsidRDefault="00040D85" w:rsidP="00040D85">
      <w:pPr>
        <w:rPr>
          <w:b/>
          <w:bCs/>
        </w:rPr>
      </w:pPr>
      <w:r w:rsidRPr="002B4516">
        <w:rPr>
          <w:b/>
          <w:bCs/>
        </w:rPr>
        <w:t>8. Riscos e mitigação</w:t>
      </w:r>
    </w:p>
    <w:p w:rsidR="00040D85" w:rsidRPr="002B4516" w:rsidRDefault="00040D85" w:rsidP="00040D85">
      <w:pPr>
        <w:numPr>
          <w:ilvl w:val="0"/>
          <w:numId w:val="33"/>
        </w:numPr>
        <w:spacing w:after="160" w:line="259" w:lineRule="auto"/>
      </w:pPr>
      <w:r w:rsidRPr="002B4516">
        <w:rPr>
          <w:b/>
          <w:bCs/>
        </w:rPr>
        <w:t>Risco de especificação insuficiente</w:t>
      </w:r>
      <w:r w:rsidRPr="002B4516">
        <w:t xml:space="preserve"> — mitigado por detalhamento técnico e projeto básico ou termo de referência completo antes da licitação.</w:t>
      </w:r>
    </w:p>
    <w:p w:rsidR="00040D85" w:rsidRPr="002B4516" w:rsidRDefault="00040D85" w:rsidP="00040D85">
      <w:pPr>
        <w:numPr>
          <w:ilvl w:val="0"/>
          <w:numId w:val="33"/>
        </w:numPr>
        <w:spacing w:after="160" w:line="259" w:lineRule="auto"/>
      </w:pPr>
      <w:r w:rsidRPr="002B4516">
        <w:rPr>
          <w:b/>
          <w:bCs/>
        </w:rPr>
        <w:t>Risco de superfaturamento/localismo</w:t>
      </w:r>
      <w:r w:rsidRPr="002B4516">
        <w:t xml:space="preserve"> — mitigado por pesquisa de preços robusta e ampla publicidade do </w:t>
      </w:r>
      <w:r>
        <w:t>procedimento</w:t>
      </w:r>
      <w:r w:rsidRPr="002B4516">
        <w:t xml:space="preserve"> eletrônico.</w:t>
      </w:r>
    </w:p>
    <w:p w:rsidR="00040D85" w:rsidRPr="002B4516" w:rsidRDefault="00040D85" w:rsidP="00040D85">
      <w:pPr>
        <w:numPr>
          <w:ilvl w:val="0"/>
          <w:numId w:val="33"/>
        </w:numPr>
        <w:spacing w:after="160" w:line="259" w:lineRule="auto"/>
      </w:pPr>
      <w:r w:rsidRPr="002B4516">
        <w:rPr>
          <w:b/>
          <w:bCs/>
        </w:rPr>
        <w:t>Risco de não atendimento</w:t>
      </w:r>
      <w:r w:rsidRPr="002B4516">
        <w:t xml:space="preserve"> — mitigado por exigência de garantias contratuais e penalidades.</w:t>
      </w:r>
    </w:p>
    <w:p w:rsidR="00040D85" w:rsidRPr="002B4516" w:rsidRDefault="00040D85" w:rsidP="00040D85"/>
    <w:p w:rsidR="00040D85" w:rsidRPr="002B4516" w:rsidRDefault="00040D85" w:rsidP="00040D85">
      <w:pPr>
        <w:rPr>
          <w:b/>
          <w:bCs/>
        </w:rPr>
      </w:pPr>
      <w:r w:rsidRPr="002B4516">
        <w:rPr>
          <w:b/>
          <w:bCs/>
        </w:rPr>
        <w:t>9. Conclusão do ETP</w:t>
      </w:r>
    </w:p>
    <w:p w:rsidR="00040D85" w:rsidRDefault="00040D85" w:rsidP="00040D85">
      <w:r w:rsidRPr="002B4516">
        <w:t xml:space="preserve">À luz dos elementos técnicos, jurídicos e mercadológicos, </w:t>
      </w:r>
      <w:r w:rsidRPr="002B4516">
        <w:rPr>
          <w:b/>
          <w:bCs/>
        </w:rPr>
        <w:t>a modalidade de pregão eletrônico</w:t>
      </w:r>
      <w:r>
        <w:rPr>
          <w:b/>
          <w:bCs/>
        </w:rPr>
        <w:t xml:space="preserve"> REGISTRO DE PREÇOS</w:t>
      </w:r>
      <w:r w:rsidRPr="002B4516">
        <w:rPr>
          <w:b/>
          <w:bCs/>
        </w:rPr>
        <w:t xml:space="preserve"> para contratação de empresa especializada na prestação de serviços de mão de obra de pintura predial</w:t>
      </w:r>
      <w:r w:rsidRPr="002B4516">
        <w:t xml:space="preserve"> no Município de Bom Sucesso do Sul – PR é </w:t>
      </w:r>
      <w:r w:rsidRPr="002B4516">
        <w:rPr>
          <w:b/>
          <w:bCs/>
        </w:rPr>
        <w:t>a solução mais adequada e vantajosa</w:t>
      </w:r>
      <w:r w:rsidRPr="002B4516">
        <w:t xml:space="preserve"> para a Administração, em conformidade </w:t>
      </w:r>
      <w:r w:rsidRPr="002B4516">
        <w:lastRenderedPageBreak/>
        <w:t xml:space="preserve">com a </w:t>
      </w:r>
      <w:r w:rsidRPr="002B4516">
        <w:rPr>
          <w:b/>
          <w:bCs/>
        </w:rPr>
        <w:t>Lei nº 14.133/2021</w:t>
      </w:r>
      <w:r w:rsidRPr="002B4516">
        <w:t>, garantindo economicidade, transparência, competitividade e observância dos princípios da Administração Pública.</w:t>
      </w:r>
    </w:p>
    <w:p w:rsidR="00E74604" w:rsidRDefault="00E74604" w:rsidP="00040D85"/>
    <w:p w:rsidR="00CA69A9" w:rsidRDefault="00CA69A9" w:rsidP="00CA69A9">
      <w:pPr>
        <w:jc w:val="center"/>
      </w:pPr>
      <w:bookmarkStart w:id="0" w:name="_GoBack"/>
      <w:r>
        <w:t>Bom Sucesso do Sul, 12 de março de 2026</w:t>
      </w:r>
    </w:p>
    <w:p w:rsidR="00CA69A9" w:rsidRDefault="00CA69A9" w:rsidP="00CA69A9">
      <w:pPr>
        <w:jc w:val="center"/>
      </w:pPr>
    </w:p>
    <w:p w:rsidR="00CA69A9" w:rsidRDefault="00CA69A9" w:rsidP="00CA69A9">
      <w:pPr>
        <w:jc w:val="center"/>
      </w:pPr>
    </w:p>
    <w:p w:rsidR="00CA69A9" w:rsidRDefault="00CA69A9" w:rsidP="00CA69A9">
      <w:pPr>
        <w:jc w:val="center"/>
      </w:pPr>
    </w:p>
    <w:p w:rsidR="00CA69A9" w:rsidRDefault="00CA69A9" w:rsidP="00CA69A9">
      <w:pPr>
        <w:jc w:val="center"/>
      </w:pPr>
      <w:r>
        <w:t>Fábio Júnior de Oliveira</w:t>
      </w:r>
    </w:p>
    <w:p w:rsidR="00CA69A9" w:rsidRPr="00040D85" w:rsidRDefault="00CA69A9" w:rsidP="00CA69A9">
      <w:pPr>
        <w:jc w:val="center"/>
      </w:pPr>
      <w:r>
        <w:t>Diretor do Departamento de Obras e Serviços Urbanos</w:t>
      </w:r>
      <w:bookmarkEnd w:id="0"/>
    </w:p>
    <w:sectPr w:rsidR="00CA69A9" w:rsidRPr="00040D85" w:rsidSect="00094B7D">
      <w:headerReference w:type="default" r:id="rId8"/>
      <w:footerReference w:type="default" r:id="rId9"/>
      <w:pgSz w:w="11906" w:h="16838"/>
      <w:pgMar w:top="2722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4AF9" w:rsidRDefault="00B54AF9">
      <w:r>
        <w:separator/>
      </w:r>
    </w:p>
  </w:endnote>
  <w:endnote w:type="continuationSeparator" w:id="0">
    <w:p w:rsidR="00B54AF9" w:rsidRDefault="00B54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6CD8" w:rsidRDefault="00A65DE3" w:rsidP="004301FC">
    <w:pPr>
      <w:pStyle w:val="Rodap"/>
      <w:jc w:val="center"/>
      <w:rPr>
        <w:sz w:val="24"/>
        <w:szCs w:val="24"/>
      </w:rPr>
    </w:pPr>
    <w:r>
      <w:rPr>
        <w:sz w:val="24"/>
        <w:szCs w:val="24"/>
      </w:rPr>
      <w:t xml:space="preserve">Fone (46) 3234-1135 </w:t>
    </w:r>
    <w:proofErr w:type="spellStart"/>
    <w:r>
      <w:rPr>
        <w:sz w:val="24"/>
        <w:szCs w:val="24"/>
      </w:rPr>
      <w:t>email</w:t>
    </w:r>
    <w:proofErr w:type="spellEnd"/>
    <w:r>
      <w:rPr>
        <w:sz w:val="24"/>
        <w:szCs w:val="24"/>
      </w:rPr>
      <w:t xml:space="preserve">: </w:t>
    </w:r>
    <w:hyperlink r:id="rId1" w:history="1">
      <w:r>
        <w:rPr>
          <w:rStyle w:val="Hyperlink"/>
          <w:sz w:val="24"/>
          <w:szCs w:val="24"/>
        </w:rPr>
        <w:t>gabinete@bssul.pr.gov.br</w:t>
      </w:r>
    </w:hyperlink>
    <w:r>
      <w:rPr>
        <w:sz w:val="24"/>
        <w:szCs w:val="24"/>
      </w:rPr>
      <w:t xml:space="preserve"> – Rua Cândido </w:t>
    </w:r>
    <w:proofErr w:type="spellStart"/>
    <w:r>
      <w:rPr>
        <w:sz w:val="24"/>
        <w:szCs w:val="24"/>
      </w:rPr>
      <w:t>Merlo</w:t>
    </w:r>
    <w:proofErr w:type="spellEnd"/>
    <w:r>
      <w:rPr>
        <w:sz w:val="24"/>
        <w:szCs w:val="24"/>
      </w:rPr>
      <w:t>,</w:t>
    </w:r>
    <w:r w:rsidR="004301FC">
      <w:rPr>
        <w:sz w:val="24"/>
        <w:szCs w:val="24"/>
      </w:rPr>
      <w:t xml:space="preserve"> nº</w:t>
    </w:r>
    <w:r>
      <w:rPr>
        <w:sz w:val="24"/>
        <w:szCs w:val="24"/>
      </w:rPr>
      <w:t xml:space="preserve"> 290 – Centro 85.515-000</w:t>
    </w:r>
    <w:r w:rsidR="004301FC">
      <w:rPr>
        <w:sz w:val="24"/>
        <w:szCs w:val="24"/>
      </w:rPr>
      <w:t xml:space="preserve"> -</w:t>
    </w:r>
    <w:r>
      <w:rPr>
        <w:sz w:val="24"/>
        <w:szCs w:val="24"/>
      </w:rPr>
      <w:t xml:space="preserve"> Bom Sucesso do Sul - Paraná</w:t>
    </w:r>
  </w:p>
  <w:p w:rsidR="00196CD8" w:rsidRDefault="00196CD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4AF9" w:rsidRDefault="00B54AF9">
      <w:r>
        <w:separator/>
      </w:r>
    </w:p>
  </w:footnote>
  <w:footnote w:type="continuationSeparator" w:id="0">
    <w:p w:rsidR="00B54AF9" w:rsidRDefault="00B54A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6CD8" w:rsidRDefault="00A65DE3">
    <w:pPr>
      <w:pStyle w:val="Cabealho"/>
      <w:rPr>
        <w:b/>
        <w:sz w:val="32"/>
      </w:rPr>
    </w:pPr>
    <w:r>
      <w:rPr>
        <w:b/>
        <w:noProof/>
        <w:sz w:val="32"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column">
                <wp:posOffset>1091565</wp:posOffset>
              </wp:positionH>
              <wp:positionV relativeFrom="paragraph">
                <wp:posOffset>7620</wp:posOffset>
              </wp:positionV>
              <wp:extent cx="4552950" cy="1404620"/>
              <wp:effectExtent l="0" t="0" r="19050" b="2540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5295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96CD8" w:rsidRDefault="00A65DE3">
                          <w:pPr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b/>
                              <w:sz w:val="32"/>
                            </w:rPr>
                            <w:t>MUNICÍPIO DE BOM SUCESSO DO SUL – PR</w:t>
                          </w:r>
                        </w:p>
                        <w:p w:rsidR="00196CD8" w:rsidRDefault="00A65DE3">
                          <w:r>
                            <w:rPr>
                              <w:b/>
                              <w:sz w:val="32"/>
                            </w:rPr>
                            <w:t>CNPJ 80.874.100/0001-86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5.95pt;margin-top:.6pt;width:358.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8YxKgIAAE0EAAAOAAAAZHJzL2Uyb0RvYy54bWysVNtu2zAMfR+wfxD0vjg2krYx4hRdugwD&#10;ugvQ7gMYWY6FyaImKbGzrx8lp1nQbS/D/CCIInVEnkN6eTt0mh2k8wpNxfPJlDNpBNbK7Cr+9Wnz&#10;5oYzH8DUoNHIih+l57er16+WvS1lgS3qWjpGIMaXva14G4Its8yLVnbgJ2ilIWeDroNApttltYOe&#10;0DudFdPpVdajq61DIb2n0/vRyVcJv2mkCJ+bxsvAdMUpt5BWl9ZtXLPVEsqdA9sqcUoD/iGLDpSh&#10;R89Q9xCA7Z36DapTwqHHJkwEdhk2jRIy1UDV5NMX1Ty2YGWqhcjx9kyT/3+w4tPhi2OqrniRX3Nm&#10;oCOR1qAGYLVkT3IIyIrIUm99ScGPlsLD8BYHUjtV7O0Dim+eGVy3YHbyzjnsWwk1ZZnHm9nF1RHH&#10;R5Bt/xFregz2ARPQ0LguUkikMEIntY5nhSgPJuhwNp8Xizm5BPny2XR2VSQNMyifr1vnw3uJHYub&#10;ijtqgQQPhwcfYjpQPofE1zxqVW+U1slwu+1aO3YAapdN+lIFL8K0YX3FF/NiPjLwV4hp+v4E0alA&#10;fa9VV/GbcxCUkbd3pk5dGUDpcU8pa3MiMnI3shiG7XASZov1kSh1OPY3zSNtWnQ/OOuptyvuv+/B&#10;Sc70B0OyLPLZLA5DMmbza+KQuUvP9tIDRhBUxQNn43Yd0gAlwuwdybdRidio85jJKVfq2cT3ab7i&#10;UFzaKerXX2D1EwAA//8DAFBLAwQUAAYACAAAACEAdnRq4NwAAAAJAQAADwAAAGRycy9kb3ducmV2&#10;LnhtbEyPwU7DMBBE70j8g7VIXCrq1NASQpwKKvXEqaHc3XhJIuJ1sN02/XuWE9z2aUazM+V6coM4&#10;YYi9Jw2LeQYCqfG2p1bD/n17l4OIyZA1gyfUcMEI6+r6qjSF9Wfa4alOreAQioXR0KU0FlLGpkNn&#10;4tyPSKx9+uBMYgyttMGcOdwNUmXZSjrTE3/ozIibDpuv+ug0rL7r+9nbh53R7rJ9DY1b2s1+qfXt&#10;zfTyDCLhlP7M8Fufq0PFnQ7+SDaKgflx8cRWPhQI1vM8Zz5oUEo9gKxK+X9B9QMAAP//AwBQSwEC&#10;LQAUAAYACAAAACEAtoM4kv4AAADhAQAAEwAAAAAAAAAAAAAAAAAAAAAAW0NvbnRlbnRfVHlwZXNd&#10;LnhtbFBLAQItABQABgAIAAAAIQA4/SH/1gAAAJQBAAALAAAAAAAAAAAAAAAAAC8BAABfcmVscy8u&#10;cmVsc1BLAQItABQABgAIAAAAIQDJs8YxKgIAAE0EAAAOAAAAAAAAAAAAAAAAAC4CAABkcnMvZTJv&#10;RG9jLnhtbFBLAQItABQABgAIAAAAIQB2dGrg3AAAAAkBAAAPAAAAAAAAAAAAAAAAAIQEAABkcnMv&#10;ZG93bnJldi54bWxQSwUGAAAAAAQABADzAAAAjQUAAAAA&#10;">
              <v:textbox style="mso-fit-shape-to-text:t">
                <w:txbxContent>
                  <w:p w:rsidR="00196CD8" w:rsidRDefault="00A65DE3">
                    <w:pPr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sz w:val="32"/>
                      </w:rPr>
                      <w:t>MUNICÍPIO DE BOM SUCESSO DO SUL – PR</w:t>
                    </w:r>
                  </w:p>
                  <w:p w:rsidR="00196CD8" w:rsidRDefault="00A65DE3">
                    <w:r>
                      <w:rPr>
                        <w:b/>
                        <w:sz w:val="32"/>
                      </w:rPr>
                      <w:t>CNPJ 80.874.100/0001-86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pt-BR"/>
      </w:rPr>
      <w:drawing>
        <wp:inline distT="0" distB="0" distL="0" distR="0">
          <wp:extent cx="914400" cy="1048043"/>
          <wp:effectExtent l="0" t="0" r="0" b="0"/>
          <wp:docPr id="1" name="Imagem 1" descr="MunicÃ­pio de Bom Sucesso do Su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unicÃ­pio de Bom Sucesso do Su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4073" cy="1059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96CD8" w:rsidRDefault="00196CD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B02230"/>
    <w:multiLevelType w:val="multilevel"/>
    <w:tmpl w:val="93A82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9A0B11"/>
    <w:multiLevelType w:val="multilevel"/>
    <w:tmpl w:val="580E6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9F4E93"/>
    <w:multiLevelType w:val="hybridMultilevel"/>
    <w:tmpl w:val="EE20FB46"/>
    <w:lvl w:ilvl="0" w:tplc="387AEFCC"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312169"/>
    <w:multiLevelType w:val="multilevel"/>
    <w:tmpl w:val="E94A4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C81755"/>
    <w:multiLevelType w:val="multilevel"/>
    <w:tmpl w:val="A7C6C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277909"/>
    <w:multiLevelType w:val="multilevel"/>
    <w:tmpl w:val="22CC3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B66FFE"/>
    <w:multiLevelType w:val="multilevel"/>
    <w:tmpl w:val="7E88B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A053A3"/>
    <w:multiLevelType w:val="multilevel"/>
    <w:tmpl w:val="A000B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C492B48"/>
    <w:multiLevelType w:val="multilevel"/>
    <w:tmpl w:val="66764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D961B14"/>
    <w:multiLevelType w:val="multilevel"/>
    <w:tmpl w:val="0784C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2DC6AAD"/>
    <w:multiLevelType w:val="multilevel"/>
    <w:tmpl w:val="916E9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734CFB"/>
    <w:multiLevelType w:val="multilevel"/>
    <w:tmpl w:val="E8E2C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9F40749"/>
    <w:multiLevelType w:val="multilevel"/>
    <w:tmpl w:val="6B308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07A508C"/>
    <w:multiLevelType w:val="multilevel"/>
    <w:tmpl w:val="964C4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4510D14"/>
    <w:multiLevelType w:val="multilevel"/>
    <w:tmpl w:val="E6CA6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A6A1820"/>
    <w:multiLevelType w:val="multilevel"/>
    <w:tmpl w:val="7C3A2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AD583D"/>
    <w:multiLevelType w:val="multilevel"/>
    <w:tmpl w:val="B7526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32323CB"/>
    <w:multiLevelType w:val="multilevel"/>
    <w:tmpl w:val="A094E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ADC6631"/>
    <w:multiLevelType w:val="multilevel"/>
    <w:tmpl w:val="84DA1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D043084"/>
    <w:multiLevelType w:val="multilevel"/>
    <w:tmpl w:val="FCD03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E192801"/>
    <w:multiLevelType w:val="multilevel"/>
    <w:tmpl w:val="F22AF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2052650"/>
    <w:multiLevelType w:val="multilevel"/>
    <w:tmpl w:val="246C9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4270985"/>
    <w:multiLevelType w:val="multilevel"/>
    <w:tmpl w:val="E9E23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4433B4E"/>
    <w:multiLevelType w:val="multilevel"/>
    <w:tmpl w:val="A7DC5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5C46C3B"/>
    <w:multiLevelType w:val="multilevel"/>
    <w:tmpl w:val="DAB4E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5FD7102"/>
    <w:multiLevelType w:val="multilevel"/>
    <w:tmpl w:val="3E969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64F3845"/>
    <w:multiLevelType w:val="multilevel"/>
    <w:tmpl w:val="C6C87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A4C362C"/>
    <w:multiLevelType w:val="multilevel"/>
    <w:tmpl w:val="D5CA4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2322A89"/>
    <w:multiLevelType w:val="multilevel"/>
    <w:tmpl w:val="13A60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25D1F66"/>
    <w:multiLevelType w:val="multilevel"/>
    <w:tmpl w:val="9FC01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4453BAF"/>
    <w:multiLevelType w:val="multilevel"/>
    <w:tmpl w:val="B388D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786255C"/>
    <w:multiLevelType w:val="multilevel"/>
    <w:tmpl w:val="D12E7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E46277A"/>
    <w:multiLevelType w:val="multilevel"/>
    <w:tmpl w:val="3B92B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8"/>
  </w:num>
  <w:num w:numId="4">
    <w:abstractNumId w:val="27"/>
  </w:num>
  <w:num w:numId="5">
    <w:abstractNumId w:val="0"/>
  </w:num>
  <w:num w:numId="6">
    <w:abstractNumId w:val="9"/>
  </w:num>
  <w:num w:numId="7">
    <w:abstractNumId w:val="17"/>
  </w:num>
  <w:num w:numId="8">
    <w:abstractNumId w:val="28"/>
  </w:num>
  <w:num w:numId="9">
    <w:abstractNumId w:val="29"/>
  </w:num>
  <w:num w:numId="10">
    <w:abstractNumId w:val="22"/>
  </w:num>
  <w:num w:numId="11">
    <w:abstractNumId w:val="31"/>
  </w:num>
  <w:num w:numId="12">
    <w:abstractNumId w:val="24"/>
  </w:num>
  <w:num w:numId="13">
    <w:abstractNumId w:val="12"/>
  </w:num>
  <w:num w:numId="14">
    <w:abstractNumId w:val="30"/>
  </w:num>
  <w:num w:numId="15">
    <w:abstractNumId w:val="1"/>
  </w:num>
  <w:num w:numId="16">
    <w:abstractNumId w:val="7"/>
  </w:num>
  <w:num w:numId="17">
    <w:abstractNumId w:val="16"/>
  </w:num>
  <w:num w:numId="18">
    <w:abstractNumId w:val="15"/>
  </w:num>
  <w:num w:numId="19">
    <w:abstractNumId w:val="25"/>
  </w:num>
  <w:num w:numId="20">
    <w:abstractNumId w:val="26"/>
  </w:num>
  <w:num w:numId="21">
    <w:abstractNumId w:val="14"/>
  </w:num>
  <w:num w:numId="22">
    <w:abstractNumId w:val="32"/>
  </w:num>
  <w:num w:numId="23">
    <w:abstractNumId w:val="20"/>
  </w:num>
  <w:num w:numId="24">
    <w:abstractNumId w:val="8"/>
  </w:num>
  <w:num w:numId="25">
    <w:abstractNumId w:val="10"/>
  </w:num>
  <w:num w:numId="26">
    <w:abstractNumId w:val="5"/>
  </w:num>
  <w:num w:numId="27">
    <w:abstractNumId w:val="21"/>
  </w:num>
  <w:num w:numId="28">
    <w:abstractNumId w:val="4"/>
  </w:num>
  <w:num w:numId="29">
    <w:abstractNumId w:val="11"/>
  </w:num>
  <w:num w:numId="30">
    <w:abstractNumId w:val="23"/>
  </w:num>
  <w:num w:numId="31">
    <w:abstractNumId w:val="13"/>
  </w:num>
  <w:num w:numId="32">
    <w:abstractNumId w:val="19"/>
  </w:num>
  <w:num w:numId="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CD8"/>
    <w:rsid w:val="00001740"/>
    <w:rsid w:val="00006361"/>
    <w:rsid w:val="000064E6"/>
    <w:rsid w:val="00015FE7"/>
    <w:rsid w:val="000160EB"/>
    <w:rsid w:val="00017702"/>
    <w:rsid w:val="000336F0"/>
    <w:rsid w:val="00040D85"/>
    <w:rsid w:val="0004514D"/>
    <w:rsid w:val="00046116"/>
    <w:rsid w:val="0004796B"/>
    <w:rsid w:val="000501A0"/>
    <w:rsid w:val="000519BE"/>
    <w:rsid w:val="000536F3"/>
    <w:rsid w:val="00060F98"/>
    <w:rsid w:val="00061E42"/>
    <w:rsid w:val="00064BBA"/>
    <w:rsid w:val="00075DF8"/>
    <w:rsid w:val="000803B1"/>
    <w:rsid w:val="000866C2"/>
    <w:rsid w:val="00094459"/>
    <w:rsid w:val="00094B7D"/>
    <w:rsid w:val="000A53F6"/>
    <w:rsid w:val="000A541C"/>
    <w:rsid w:val="000A6047"/>
    <w:rsid w:val="000B461B"/>
    <w:rsid w:val="000B647E"/>
    <w:rsid w:val="000C37F5"/>
    <w:rsid w:val="000C6EF1"/>
    <w:rsid w:val="000D0706"/>
    <w:rsid w:val="001129F4"/>
    <w:rsid w:val="001224CB"/>
    <w:rsid w:val="00123DD9"/>
    <w:rsid w:val="0012731C"/>
    <w:rsid w:val="001522C3"/>
    <w:rsid w:val="00166920"/>
    <w:rsid w:val="00175D9C"/>
    <w:rsid w:val="00193EB1"/>
    <w:rsid w:val="00196CD8"/>
    <w:rsid w:val="001A1CA5"/>
    <w:rsid w:val="001A686A"/>
    <w:rsid w:val="001A6EE0"/>
    <w:rsid w:val="001B1D95"/>
    <w:rsid w:val="001D060B"/>
    <w:rsid w:val="001F4628"/>
    <w:rsid w:val="00200A75"/>
    <w:rsid w:val="00203636"/>
    <w:rsid w:val="00215984"/>
    <w:rsid w:val="0022272B"/>
    <w:rsid w:val="0023702B"/>
    <w:rsid w:val="00252AA0"/>
    <w:rsid w:val="00257ABA"/>
    <w:rsid w:val="0027093C"/>
    <w:rsid w:val="002835BA"/>
    <w:rsid w:val="002901DB"/>
    <w:rsid w:val="002A03F5"/>
    <w:rsid w:val="002A26DC"/>
    <w:rsid w:val="002B4F8E"/>
    <w:rsid w:val="002B569D"/>
    <w:rsid w:val="002C1D6A"/>
    <w:rsid w:val="002C2D1D"/>
    <w:rsid w:val="002C3B9F"/>
    <w:rsid w:val="002C6C00"/>
    <w:rsid w:val="002E1CB3"/>
    <w:rsid w:val="002E6FB3"/>
    <w:rsid w:val="002F267E"/>
    <w:rsid w:val="0030389A"/>
    <w:rsid w:val="00304480"/>
    <w:rsid w:val="00321CD5"/>
    <w:rsid w:val="0033075B"/>
    <w:rsid w:val="0033595C"/>
    <w:rsid w:val="00335EB7"/>
    <w:rsid w:val="0035339F"/>
    <w:rsid w:val="00354513"/>
    <w:rsid w:val="00366A21"/>
    <w:rsid w:val="00367C59"/>
    <w:rsid w:val="00370C6E"/>
    <w:rsid w:val="00382671"/>
    <w:rsid w:val="00392586"/>
    <w:rsid w:val="003968BE"/>
    <w:rsid w:val="003A37FB"/>
    <w:rsid w:val="003D4899"/>
    <w:rsid w:val="003E24FB"/>
    <w:rsid w:val="003E506B"/>
    <w:rsid w:val="003E6823"/>
    <w:rsid w:val="003F3D15"/>
    <w:rsid w:val="003F7716"/>
    <w:rsid w:val="00406695"/>
    <w:rsid w:val="00413971"/>
    <w:rsid w:val="0042518D"/>
    <w:rsid w:val="004301FC"/>
    <w:rsid w:val="004335B4"/>
    <w:rsid w:val="0043777E"/>
    <w:rsid w:val="00457A35"/>
    <w:rsid w:val="00457E65"/>
    <w:rsid w:val="004769F3"/>
    <w:rsid w:val="004952FD"/>
    <w:rsid w:val="004970CA"/>
    <w:rsid w:val="004A10DB"/>
    <w:rsid w:val="004A1572"/>
    <w:rsid w:val="004B359A"/>
    <w:rsid w:val="004D733D"/>
    <w:rsid w:val="004E1797"/>
    <w:rsid w:val="004E1F31"/>
    <w:rsid w:val="00500CE4"/>
    <w:rsid w:val="00506029"/>
    <w:rsid w:val="0050706B"/>
    <w:rsid w:val="00507F19"/>
    <w:rsid w:val="0051135B"/>
    <w:rsid w:val="00511C60"/>
    <w:rsid w:val="00517563"/>
    <w:rsid w:val="00547A17"/>
    <w:rsid w:val="00551152"/>
    <w:rsid w:val="00551E11"/>
    <w:rsid w:val="005531F9"/>
    <w:rsid w:val="005536CD"/>
    <w:rsid w:val="0056736B"/>
    <w:rsid w:val="00595887"/>
    <w:rsid w:val="005A1262"/>
    <w:rsid w:val="005C4DD5"/>
    <w:rsid w:val="005C5EB3"/>
    <w:rsid w:val="005D1180"/>
    <w:rsid w:val="005D6785"/>
    <w:rsid w:val="005E73D6"/>
    <w:rsid w:val="005F4A99"/>
    <w:rsid w:val="005F6175"/>
    <w:rsid w:val="005F6E08"/>
    <w:rsid w:val="00600956"/>
    <w:rsid w:val="006055C3"/>
    <w:rsid w:val="00637B27"/>
    <w:rsid w:val="00654BC5"/>
    <w:rsid w:val="00662A31"/>
    <w:rsid w:val="00676C9E"/>
    <w:rsid w:val="00681743"/>
    <w:rsid w:val="00692BD3"/>
    <w:rsid w:val="00697A05"/>
    <w:rsid w:val="006D3F66"/>
    <w:rsid w:val="006D65B6"/>
    <w:rsid w:val="00705505"/>
    <w:rsid w:val="00735621"/>
    <w:rsid w:val="00737D86"/>
    <w:rsid w:val="007418B2"/>
    <w:rsid w:val="00743CC2"/>
    <w:rsid w:val="00750AE8"/>
    <w:rsid w:val="007533F5"/>
    <w:rsid w:val="00757DEA"/>
    <w:rsid w:val="00760D52"/>
    <w:rsid w:val="0077535C"/>
    <w:rsid w:val="0078090B"/>
    <w:rsid w:val="007848AF"/>
    <w:rsid w:val="00796258"/>
    <w:rsid w:val="007A136A"/>
    <w:rsid w:val="007C231D"/>
    <w:rsid w:val="007D173F"/>
    <w:rsid w:val="007D21A1"/>
    <w:rsid w:val="007D761C"/>
    <w:rsid w:val="007F0A09"/>
    <w:rsid w:val="007F1CE8"/>
    <w:rsid w:val="0080514E"/>
    <w:rsid w:val="00817263"/>
    <w:rsid w:val="00817C85"/>
    <w:rsid w:val="00821E19"/>
    <w:rsid w:val="00825813"/>
    <w:rsid w:val="008302D7"/>
    <w:rsid w:val="008320F7"/>
    <w:rsid w:val="00833EC3"/>
    <w:rsid w:val="00834CD2"/>
    <w:rsid w:val="008377F4"/>
    <w:rsid w:val="00845DCD"/>
    <w:rsid w:val="00864720"/>
    <w:rsid w:val="00890531"/>
    <w:rsid w:val="008D72CE"/>
    <w:rsid w:val="008D73A1"/>
    <w:rsid w:val="008E6B22"/>
    <w:rsid w:val="008F1655"/>
    <w:rsid w:val="009045C9"/>
    <w:rsid w:val="00935773"/>
    <w:rsid w:val="0094322A"/>
    <w:rsid w:val="00955677"/>
    <w:rsid w:val="009658D5"/>
    <w:rsid w:val="00965A90"/>
    <w:rsid w:val="00970C8A"/>
    <w:rsid w:val="00971426"/>
    <w:rsid w:val="00987C53"/>
    <w:rsid w:val="009926B4"/>
    <w:rsid w:val="00992DC5"/>
    <w:rsid w:val="009951E9"/>
    <w:rsid w:val="009B23F4"/>
    <w:rsid w:val="009B635D"/>
    <w:rsid w:val="009C272C"/>
    <w:rsid w:val="009D1E7A"/>
    <w:rsid w:val="009D3DC2"/>
    <w:rsid w:val="009D7CD8"/>
    <w:rsid w:val="009E0EE3"/>
    <w:rsid w:val="009E2A55"/>
    <w:rsid w:val="009F3550"/>
    <w:rsid w:val="00A05311"/>
    <w:rsid w:val="00A123D0"/>
    <w:rsid w:val="00A3105B"/>
    <w:rsid w:val="00A52710"/>
    <w:rsid w:val="00A63513"/>
    <w:rsid w:val="00A65DE3"/>
    <w:rsid w:val="00A73E82"/>
    <w:rsid w:val="00A87373"/>
    <w:rsid w:val="00A92C73"/>
    <w:rsid w:val="00AC2792"/>
    <w:rsid w:val="00AC31D8"/>
    <w:rsid w:val="00AD5BE3"/>
    <w:rsid w:val="00AE6752"/>
    <w:rsid w:val="00AF5096"/>
    <w:rsid w:val="00B2694B"/>
    <w:rsid w:val="00B347AC"/>
    <w:rsid w:val="00B36F6E"/>
    <w:rsid w:val="00B4520F"/>
    <w:rsid w:val="00B54AF9"/>
    <w:rsid w:val="00B84112"/>
    <w:rsid w:val="00B85E1B"/>
    <w:rsid w:val="00B93FF2"/>
    <w:rsid w:val="00BA5619"/>
    <w:rsid w:val="00BB1EA2"/>
    <w:rsid w:val="00BD1752"/>
    <w:rsid w:val="00BD5357"/>
    <w:rsid w:val="00C06850"/>
    <w:rsid w:val="00C17001"/>
    <w:rsid w:val="00C231C8"/>
    <w:rsid w:val="00C52A12"/>
    <w:rsid w:val="00C605CA"/>
    <w:rsid w:val="00C80CD3"/>
    <w:rsid w:val="00C963B4"/>
    <w:rsid w:val="00CA00D2"/>
    <w:rsid w:val="00CA13F3"/>
    <w:rsid w:val="00CA2446"/>
    <w:rsid w:val="00CA2AFA"/>
    <w:rsid w:val="00CA69A9"/>
    <w:rsid w:val="00CC26D5"/>
    <w:rsid w:val="00CD25F1"/>
    <w:rsid w:val="00CD5492"/>
    <w:rsid w:val="00CE3959"/>
    <w:rsid w:val="00CE5070"/>
    <w:rsid w:val="00CF058E"/>
    <w:rsid w:val="00CF3781"/>
    <w:rsid w:val="00CF3B1B"/>
    <w:rsid w:val="00CF6E70"/>
    <w:rsid w:val="00D0589B"/>
    <w:rsid w:val="00D14A50"/>
    <w:rsid w:val="00D15BEA"/>
    <w:rsid w:val="00D23287"/>
    <w:rsid w:val="00D27FED"/>
    <w:rsid w:val="00D3689A"/>
    <w:rsid w:val="00D44D51"/>
    <w:rsid w:val="00D455D5"/>
    <w:rsid w:val="00D669E8"/>
    <w:rsid w:val="00D76FC3"/>
    <w:rsid w:val="00D80719"/>
    <w:rsid w:val="00D94168"/>
    <w:rsid w:val="00DA0073"/>
    <w:rsid w:val="00DA225E"/>
    <w:rsid w:val="00DB07EF"/>
    <w:rsid w:val="00DB7A78"/>
    <w:rsid w:val="00DC5933"/>
    <w:rsid w:val="00DD1787"/>
    <w:rsid w:val="00DD1B03"/>
    <w:rsid w:val="00DD38A2"/>
    <w:rsid w:val="00DE1424"/>
    <w:rsid w:val="00DF5780"/>
    <w:rsid w:val="00E000A2"/>
    <w:rsid w:val="00E25652"/>
    <w:rsid w:val="00E275AE"/>
    <w:rsid w:val="00E300DF"/>
    <w:rsid w:val="00E45FA2"/>
    <w:rsid w:val="00E53D14"/>
    <w:rsid w:val="00E653DF"/>
    <w:rsid w:val="00E723FB"/>
    <w:rsid w:val="00E734DD"/>
    <w:rsid w:val="00E74604"/>
    <w:rsid w:val="00E911E8"/>
    <w:rsid w:val="00E94BA8"/>
    <w:rsid w:val="00E94CA0"/>
    <w:rsid w:val="00EB1550"/>
    <w:rsid w:val="00EB1705"/>
    <w:rsid w:val="00EC2371"/>
    <w:rsid w:val="00EF18A4"/>
    <w:rsid w:val="00EF2E70"/>
    <w:rsid w:val="00EF503C"/>
    <w:rsid w:val="00EF69A8"/>
    <w:rsid w:val="00F00136"/>
    <w:rsid w:val="00F00532"/>
    <w:rsid w:val="00F06139"/>
    <w:rsid w:val="00F0738F"/>
    <w:rsid w:val="00F11F64"/>
    <w:rsid w:val="00F253B6"/>
    <w:rsid w:val="00F32FB3"/>
    <w:rsid w:val="00F33BF3"/>
    <w:rsid w:val="00F41A6D"/>
    <w:rsid w:val="00F51883"/>
    <w:rsid w:val="00F526F5"/>
    <w:rsid w:val="00F5279C"/>
    <w:rsid w:val="00F53CE0"/>
    <w:rsid w:val="00F55D0C"/>
    <w:rsid w:val="00F56D7F"/>
    <w:rsid w:val="00F62EAF"/>
    <w:rsid w:val="00F7771B"/>
    <w:rsid w:val="00F81B3E"/>
    <w:rsid w:val="00F81B6D"/>
    <w:rsid w:val="00F84A68"/>
    <w:rsid w:val="00F90836"/>
    <w:rsid w:val="00F918D0"/>
    <w:rsid w:val="00FA4BAF"/>
    <w:rsid w:val="00FA4EFC"/>
    <w:rsid w:val="00FB30FF"/>
    <w:rsid w:val="00FD2CBC"/>
    <w:rsid w:val="00FE0BC3"/>
    <w:rsid w:val="00FE2575"/>
    <w:rsid w:val="00FF675C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FB993CD-7912-4BA6-980E-2F9258246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60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C80CD3"/>
    <w:pPr>
      <w:keepNext/>
      <w:outlineLvl w:val="1"/>
    </w:pPr>
    <w:rPr>
      <w:rFonts w:ascii="Arial" w:hAnsi="Arial"/>
      <w:b/>
      <w:sz w:val="2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</w:style>
  <w:style w:type="character" w:styleId="Hyperlink">
    <w:name w:val="Hyperlink"/>
    <w:basedOn w:val="Fontepargpadro"/>
    <w:uiPriority w:val="99"/>
    <w:unhideWhenUsed/>
    <w:rPr>
      <w:color w:val="0563C1" w:themeColor="hyperlink"/>
      <w:u w:val="single"/>
    </w:rPr>
  </w:style>
  <w:style w:type="table" w:styleId="Tabelacomgrade">
    <w:name w:val="Table Grid"/>
    <w:basedOn w:val="Tabelanormal"/>
    <w:uiPriority w:val="39"/>
    <w:rsid w:val="004301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rsid w:val="00CE3959"/>
    <w:pPr>
      <w:widowControl w:val="0"/>
      <w:suppressAutoHyphens/>
      <w:spacing w:after="120"/>
    </w:pPr>
    <w:rPr>
      <w:rFonts w:eastAsia="Lucida Sans Unicode"/>
      <w:kern w:val="1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CE3959"/>
    <w:rPr>
      <w:rFonts w:ascii="Times New Roman" w:eastAsia="Lucida Sans Unicode" w:hAnsi="Times New Roman" w:cs="Times New Roman"/>
      <w:kern w:val="1"/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rsid w:val="002B4F8E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rsid w:val="00C80CD3"/>
    <w:rPr>
      <w:rFonts w:ascii="Arial" w:eastAsia="Times New Roman" w:hAnsi="Arial" w:cs="Times New Roman"/>
      <w:b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B7A7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7A78"/>
    <w:rPr>
      <w:rFonts w:ascii="Segoe UI" w:eastAsia="Times New Roman" w:hAnsi="Segoe UI" w:cs="Segoe UI"/>
      <w:sz w:val="18"/>
      <w:szCs w:val="18"/>
      <w:lang w:eastAsia="pt-BR"/>
    </w:rPr>
  </w:style>
  <w:style w:type="paragraph" w:styleId="SemEspaamento">
    <w:name w:val="No Spacing"/>
    <w:uiPriority w:val="1"/>
    <w:qFormat/>
    <w:rsid w:val="0081726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gabinete@bssul.pr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BF6638-0B20-4538-A4B8-7B8234894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1652</Words>
  <Characters>8921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Vilmar</dc:creator>
  <cp:keywords/>
  <dc:description/>
  <cp:lastModifiedBy>Fabio</cp:lastModifiedBy>
  <cp:revision>3</cp:revision>
  <cp:lastPrinted>2026-03-12T19:47:00Z</cp:lastPrinted>
  <dcterms:created xsi:type="dcterms:W3CDTF">2026-03-12T19:37:00Z</dcterms:created>
  <dcterms:modified xsi:type="dcterms:W3CDTF">2026-03-12T19:47:00Z</dcterms:modified>
</cp:coreProperties>
</file>