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4CEB8" w14:textId="77777777" w:rsidR="00CD3C51" w:rsidRPr="003B2F5A" w:rsidRDefault="00000000">
      <w:pPr>
        <w:spacing w:after="40" w:line="240" w:lineRule="auto"/>
        <w:jc w:val="center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ESTUDO TÉCNICO PRELIMINAR</w:t>
      </w:r>
    </w:p>
    <w:p w14:paraId="19EB14FB" w14:textId="77777777" w:rsidR="00CD3C51" w:rsidRPr="003B2F5A" w:rsidRDefault="00000000">
      <w:pPr>
        <w:spacing w:line="240" w:lineRule="auto"/>
        <w:jc w:val="center"/>
        <w:rPr>
          <w:rFonts w:ascii="Arial" w:hAnsi="Arial" w:cs="Arial"/>
          <w:b/>
          <w:bCs/>
          <w:lang w:val="pt-BR"/>
        </w:rPr>
      </w:pPr>
      <w:r w:rsidRPr="003B2F5A">
        <w:rPr>
          <w:rFonts w:ascii="Arial" w:hAnsi="Arial" w:cs="Arial"/>
          <w:b/>
          <w:bCs/>
          <w:lang w:val="pt-BR"/>
        </w:rPr>
        <w:t>Contratação e Instalação de Mesas de Jogos para Recreação na Escola Irmã Neli</w:t>
      </w:r>
    </w:p>
    <w:p w14:paraId="0EB4D9D3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6A909422" w14:textId="038E8C9B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1. IDENTIFICAÇÃO</w:t>
      </w:r>
    </w:p>
    <w:p w14:paraId="478FC9F9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Órgão Demandante: Departamento Municipal de Educação, Cultura e Esporte.</w:t>
      </w:r>
    </w:p>
    <w:p w14:paraId="72442554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Departamento Solicitante: Educação.</w:t>
      </w:r>
    </w:p>
    <w:p w14:paraId="3B58F97B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 xml:space="preserve">Responsável: </w:t>
      </w:r>
      <w:proofErr w:type="spellStart"/>
      <w:r w:rsidRPr="003B2F5A">
        <w:rPr>
          <w:rFonts w:ascii="Arial" w:hAnsi="Arial" w:cs="Arial"/>
          <w:lang w:val="pt-BR"/>
        </w:rPr>
        <w:t>Elisana</w:t>
      </w:r>
      <w:proofErr w:type="spellEnd"/>
      <w:r w:rsidRPr="003B2F5A">
        <w:rPr>
          <w:rFonts w:ascii="Arial" w:hAnsi="Arial" w:cs="Arial"/>
          <w:lang w:val="pt-BR"/>
        </w:rPr>
        <w:t xml:space="preserve"> </w:t>
      </w:r>
      <w:proofErr w:type="spellStart"/>
      <w:r w:rsidRPr="003B2F5A">
        <w:rPr>
          <w:rFonts w:ascii="Arial" w:hAnsi="Arial" w:cs="Arial"/>
          <w:lang w:val="pt-BR"/>
        </w:rPr>
        <w:t>Pillonetto</w:t>
      </w:r>
      <w:proofErr w:type="spellEnd"/>
      <w:r w:rsidRPr="003B2F5A">
        <w:rPr>
          <w:rFonts w:ascii="Arial" w:hAnsi="Arial" w:cs="Arial"/>
          <w:lang w:val="pt-BR"/>
        </w:rPr>
        <w:t>.</w:t>
      </w:r>
    </w:p>
    <w:p w14:paraId="5F67C829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Memorando: 255/2026.</w:t>
      </w:r>
    </w:p>
    <w:p w14:paraId="2B76BCFD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Fundamentação: Lei Federal nº 14.133/2021.</w:t>
      </w:r>
    </w:p>
    <w:p w14:paraId="0393E54C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053D0590" w14:textId="4B151A04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2. OBJETO DA CONTRATAÇÃO</w:t>
      </w:r>
    </w:p>
    <w:p w14:paraId="110B1C03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Contratação de empresa para o fornecimento, entrega, montagem e instalação, quando aplicável, de mesas e equipamentos de jogos recreativos destinados à Escola Irmã Neli, no Município de Bom Sucesso do Sul – PR, incluindo os acessórios necessários à completa disponibilização dos bens para uso dos estudantes.</w:t>
      </w:r>
    </w:p>
    <w:p w14:paraId="723E697E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solução contempla 01 mesa de pebolim, 01 mesa de aero hockey, 01 basquete duplo, 01 futmesa e 01 jogo de mesa pitoco, com características adequadas ao uso recreativo em ambiente escolar.</w:t>
      </w:r>
    </w:p>
    <w:p w14:paraId="67EC40E3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5F61EEC6" w14:textId="185DF77D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3. PREVISÃO NO PCA</w:t>
      </w:r>
    </w:p>
    <w:p w14:paraId="4B120044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contratação encontra-se prevista no Plano de Contratações Anual – PCA 2026, sob o registro PCA nº 164/2026-1.8 – Contratação e instalação de mesas de jogos para recreação na Escola Irmã Neli.</w:t>
      </w:r>
    </w:p>
    <w:p w14:paraId="0CA0FE7B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demanda também se encontra vinculada ao Plano de Ação e ao Plano de Trabalho da Deliberação nº 013/2025 – CEDCA/PR, que prevê, no cronograma da Educação, a instalação de mesas de jogos pedagógicos e recreativos, incluindo aero hockey e pebolim.</w:t>
      </w:r>
    </w:p>
    <w:p w14:paraId="609FF07A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174F7CFE" w14:textId="0C20C7DC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4. FUNDAMENTAÇÃO LEGAL</w:t>
      </w:r>
    </w:p>
    <w:p w14:paraId="5F7ADA9D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O presente Estudo Técnico Preliminar integra a fase preparatória da contratação e é elaborado em conformidade com a Lei Federal nº 14.133/2021.</w:t>
      </w:r>
    </w:p>
    <w:p w14:paraId="072197AC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Por se tratar de aquisição de bens, a contratação poderá ser processada por dispensa de licitação em razão do valor, com fundamento no art. 75, inciso II, da Lei nº 14.133/2021, desde que atendidos os demais requisitos legais, inclusive a aferição dos limites considerando o somatório das despesas de mesma natureza no exercício financeiro.</w:t>
      </w:r>
    </w:p>
    <w:p w14:paraId="2EC464C5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Para o exercício de 2026, o Decreto Federal nº 12.807/2025 atualizou o limite do art. 75, inciso II, para R$ 65.492,11. O valor preliminar desta contratação encontra-se abaixo desse limite, sem prejuízo da necessária verificação administrativa quanto à inexistência de fracionamento indevido da despesa e do cumprimento das demais formalidades aplicáveis.</w:t>
      </w:r>
    </w:p>
    <w:p w14:paraId="22A4F9AC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3F5AB7C0" w14:textId="4047EEE7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5. NECESSIDADE DA CONTRATAÇÃO</w:t>
      </w:r>
    </w:p>
    <w:p w14:paraId="164826F4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lastRenderedPageBreak/>
        <w:t>A Escola Irmã Neli necessita ampliar e qualificar as alternativas de recreação e convivência disponíveis aos estudantes, oferecendo equipamentos que possam ser utilizados em momentos de lazer, integração e atividades lúdicas no ambiente escolar.</w:t>
      </w:r>
    </w:p>
    <w:p w14:paraId="690B2F30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disponibilização de mesas de jogos favorece a interação entre os alunos, a socialização, a cooperação e o desenvolvimento de habilidades motoras, cognitivas e sociais, contribuindo para a criação de espaços escolares mais atrativos e adequados ao desenvolvimento integral das crianças.</w:t>
      </w:r>
    </w:p>
    <w:p w14:paraId="6D1E2864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necessidade está diretamente relacionada às ações previstas no Plano de Ação e no Plano de Trabalho da Deliberação nº 013/2025 – CEDCA/PR, que identificam a importância da qualificação dos espaços destinados às crianças e preveem a instalação de mesas de jogos pedagógicos e recreativos na área da Educação.</w:t>
      </w:r>
    </w:p>
    <w:p w14:paraId="4093568F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39006A02" w14:textId="47BD347C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6. LEVANTAMENTO DAS SOLUÇÕES</w:t>
      </w:r>
    </w:p>
    <w:p w14:paraId="5FEF94EF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Foram consideradas as seguintes alternativas para atendimento da necessidade:</w:t>
      </w:r>
    </w:p>
    <w:p w14:paraId="0531763C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a) Manutenção da situação atual: não atende à necessidade identificada, pois mantém limitada a oferta de equipamentos recreativos e não executa a ação planejada para qualificação do espaço escolar.</w:t>
      </w:r>
    </w:p>
    <w:p w14:paraId="5591945E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b) Locação dos equipamentos: mostra-se menos adequada para uma necessidade permanente, pois gera despesa recorrente sem incorporação dos bens ao patrimônio municipal e pode elevar o custo ao longo do tempo.</w:t>
      </w:r>
    </w:p>
    <w:p w14:paraId="4CF5B94F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c) Aquisição isolada de apenas parte dos equipamentos: atende parcialmente à necessidade, mas reduz a diversidade de atividades e não contempla integralmente a solução planejada.</w:t>
      </w:r>
    </w:p>
    <w:p w14:paraId="09D2D967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d) Aquisição do conjunto de equipamentos recreativos, com entrega, montagem e instalação quando aplicável: permite disponibilização permanente dos bens, variedade de jogos e melhor aproveitamento do investimento, sendo a alternativa que melhor atende à necessidade da Escola Irmã Neli.</w:t>
      </w:r>
    </w:p>
    <w:p w14:paraId="2F897CC0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78EB05C1" w14:textId="6F6C79CC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7. JUSTIFICATIVA DA SOLUÇÃO</w:t>
      </w:r>
    </w:p>
    <w:p w14:paraId="6B48A5F0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aquisição dos equipamentos mostra-se a solução mais adequada porque os bens terão utilização continuada pela unidade escolar e poderão integrar de forma permanente os espaços de recreação e convivência. A diversidade dos jogos permite atender diferentes interesses dos estudantes e ampliar as possibilidades de interação em grupo.</w:t>
      </w:r>
    </w:p>
    <w:p w14:paraId="5D12C685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solução também possibilita que a Administração adquira bens com características de resistência, segurança, durabilidade e facilidade de uso, acompanhados dos acessórios indispensáveis, reduzindo a necessidade de aquisições complementares imediatas.</w:t>
      </w:r>
    </w:p>
    <w:p w14:paraId="1DCECAD5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3456D088" w14:textId="6335B0DC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8. ANÁLISE DA SOLUÇÃO E FORMA DE CONTRATAÇÃO</w:t>
      </w:r>
    </w:p>
    <w:p w14:paraId="018AC0AF" w14:textId="77777777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8.1 Alternativas Consideradas</w:t>
      </w:r>
    </w:p>
    <w:p w14:paraId="430EB3CB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a) Procedimento licitatório competitivo – juridicamente possível, porém deve ser avaliado à luz do valor e da simplicidade do objeto.</w:t>
      </w:r>
    </w:p>
    <w:p w14:paraId="261451C2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lastRenderedPageBreak/>
        <w:t>b) Contratação direta por dispensa de licitação em razão do valor – aplicável às compras que se enquadrem no art. 75, inciso II, da Lei nº 14.133/2021, observados os requisitos da contratação direta e a aferição do limite legal.</w:t>
      </w:r>
    </w:p>
    <w:p w14:paraId="646F2B0B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74914AB4" w14:textId="21480EDE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8.2 Fundamentação da Escolha</w:t>
      </w:r>
    </w:p>
    <w:p w14:paraId="04EBC352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Considerando que se trata de aquisição pontual de bens comuns, com especificações objetivamente definíveis e valor preliminar significativamente inferior ao limite legal vigente para compras, a dispensa de licitação em razão do valor mostra-se compatível com a contratação pretendida, condicionada à pesquisa de preços, à demonstração da vantajosidade, à verificação do somatório de despesas de mesma natureza e às demais formalidades legais e regulamentares aplicáveis.</w:t>
      </w:r>
    </w:p>
    <w:p w14:paraId="767088AD" w14:textId="77777777" w:rsidR="003B2F5A" w:rsidRDefault="003B2F5A">
      <w:pPr>
        <w:spacing w:after="80" w:line="240" w:lineRule="auto"/>
        <w:rPr>
          <w:rFonts w:ascii="Arial" w:hAnsi="Arial" w:cs="Arial"/>
          <w:b/>
        </w:rPr>
      </w:pPr>
    </w:p>
    <w:p w14:paraId="63B0D1DE" w14:textId="4266A263" w:rsidR="00CD3C51" w:rsidRDefault="00000000">
      <w:pPr>
        <w:spacing w:after="80" w:line="240" w:lineRule="auto"/>
        <w:rPr>
          <w:rFonts w:ascii="Arial" w:hAnsi="Arial" w:cs="Arial"/>
          <w:b/>
        </w:rPr>
      </w:pPr>
      <w:r w:rsidRPr="003B2F5A">
        <w:rPr>
          <w:rFonts w:ascii="Arial" w:hAnsi="Arial" w:cs="Arial"/>
          <w:b/>
        </w:rPr>
        <w:t>9. DESCRITIVO TÉCNICO DO OBJETO</w:t>
      </w:r>
    </w:p>
    <w:tbl>
      <w:tblPr>
        <w:tblStyle w:val="Tabelacomgrade"/>
        <w:tblW w:w="992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655"/>
        <w:gridCol w:w="708"/>
        <w:gridCol w:w="854"/>
      </w:tblGrid>
      <w:tr w:rsidR="00CD3C51" w:rsidRPr="003B2F5A" w14:paraId="01620AF5" w14:textId="77777777" w:rsidTr="003B2F5A">
        <w:trPr>
          <w:tblHeader/>
          <w:jc w:val="center"/>
        </w:trPr>
        <w:tc>
          <w:tcPr>
            <w:tcW w:w="704" w:type="dxa"/>
            <w:shd w:val="clear" w:color="auto" w:fill="D9EAF7"/>
          </w:tcPr>
          <w:p w14:paraId="11700A84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7655" w:type="dxa"/>
            <w:shd w:val="clear" w:color="auto" w:fill="D9EAF7"/>
          </w:tcPr>
          <w:p w14:paraId="12502DC4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DESCRIÇÃO DO ITEM</w:t>
            </w:r>
          </w:p>
        </w:tc>
        <w:tc>
          <w:tcPr>
            <w:tcW w:w="708" w:type="dxa"/>
            <w:shd w:val="clear" w:color="auto" w:fill="D9EAF7"/>
          </w:tcPr>
          <w:p w14:paraId="28F87A71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UND</w:t>
            </w:r>
          </w:p>
        </w:tc>
        <w:tc>
          <w:tcPr>
            <w:tcW w:w="854" w:type="dxa"/>
            <w:shd w:val="clear" w:color="auto" w:fill="D9EAF7"/>
          </w:tcPr>
          <w:p w14:paraId="5F7E0A67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QTDE</w:t>
            </w:r>
          </w:p>
        </w:tc>
      </w:tr>
      <w:tr w:rsidR="00CD3C51" w:rsidRPr="003B2F5A" w14:paraId="76D5B4AE" w14:textId="77777777" w:rsidTr="003B2F5A">
        <w:trPr>
          <w:jc w:val="center"/>
        </w:trPr>
        <w:tc>
          <w:tcPr>
            <w:tcW w:w="704" w:type="dxa"/>
          </w:tcPr>
          <w:p w14:paraId="294AFDF2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01</w:t>
            </w:r>
          </w:p>
        </w:tc>
        <w:tc>
          <w:tcPr>
            <w:tcW w:w="7655" w:type="dxa"/>
          </w:tcPr>
          <w:p w14:paraId="3CFCF572" w14:textId="77777777" w:rsidR="00CD3C51" w:rsidRPr="003B2F5A" w:rsidRDefault="00000000">
            <w:pPr>
              <w:jc w:val="both"/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MESA DE PEBOLIM – Estrutura em madeira maciça com aplicação de verniz tingido, exceto os pés; design moderno em forma de caixa dupla; bonecos em polipropileno (PP); contador de pontos; varões embutidos, proporcionando maior segurança; pés com sapata plástica; acompanha 02 bolas. Medidas aproximadas: 1,363 m x 0,79 m x 0,92 m (C x L x A).</w:t>
            </w:r>
          </w:p>
        </w:tc>
        <w:tc>
          <w:tcPr>
            <w:tcW w:w="708" w:type="dxa"/>
          </w:tcPr>
          <w:p w14:paraId="4F60F529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UN</w:t>
            </w:r>
          </w:p>
        </w:tc>
        <w:tc>
          <w:tcPr>
            <w:tcW w:w="854" w:type="dxa"/>
          </w:tcPr>
          <w:p w14:paraId="55AA06DA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01</w:t>
            </w:r>
          </w:p>
        </w:tc>
      </w:tr>
      <w:tr w:rsidR="00CD3C51" w:rsidRPr="003B2F5A" w14:paraId="70DB7A2B" w14:textId="77777777" w:rsidTr="003B2F5A">
        <w:trPr>
          <w:jc w:val="center"/>
        </w:trPr>
        <w:tc>
          <w:tcPr>
            <w:tcW w:w="704" w:type="dxa"/>
          </w:tcPr>
          <w:p w14:paraId="7F816F18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02</w:t>
            </w:r>
          </w:p>
        </w:tc>
        <w:tc>
          <w:tcPr>
            <w:tcW w:w="7655" w:type="dxa"/>
          </w:tcPr>
          <w:p w14:paraId="238FDD89" w14:textId="77777777" w:rsidR="00CD3C51" w:rsidRPr="003B2F5A" w:rsidRDefault="00000000">
            <w:pPr>
              <w:jc w:val="both"/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MESA DE AERO HOCKEY – Estrutura produzida em MDP; acabamento em primer com secagem UV; tampo de MDF revestido com laminado melamínico; pés desmontáveis com sapata plástica em polipropileno (PP); contador de pontos; 01 motor ventilador para flutuação do disco; alimentação bivolt 110/220 V; acompanha kit com 02 rebatedores e 02 discos. Medidas aproximadas: 2,11 m x 1,05 m x 0,825 m (C x L x A).</w:t>
            </w:r>
          </w:p>
        </w:tc>
        <w:tc>
          <w:tcPr>
            <w:tcW w:w="708" w:type="dxa"/>
          </w:tcPr>
          <w:p w14:paraId="6132A74F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UN</w:t>
            </w:r>
          </w:p>
        </w:tc>
        <w:tc>
          <w:tcPr>
            <w:tcW w:w="854" w:type="dxa"/>
          </w:tcPr>
          <w:p w14:paraId="6F497A08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01</w:t>
            </w:r>
          </w:p>
        </w:tc>
      </w:tr>
      <w:tr w:rsidR="00CD3C51" w:rsidRPr="003B2F5A" w14:paraId="62F9BF28" w14:textId="77777777" w:rsidTr="003B2F5A">
        <w:trPr>
          <w:jc w:val="center"/>
        </w:trPr>
        <w:tc>
          <w:tcPr>
            <w:tcW w:w="704" w:type="dxa"/>
          </w:tcPr>
          <w:p w14:paraId="2EEAA7CD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03</w:t>
            </w:r>
          </w:p>
        </w:tc>
        <w:tc>
          <w:tcPr>
            <w:tcW w:w="7655" w:type="dxa"/>
          </w:tcPr>
          <w:p w14:paraId="7B3437C4" w14:textId="77777777" w:rsidR="00CD3C51" w:rsidRPr="003B2F5A" w:rsidRDefault="00000000">
            <w:pPr>
              <w:jc w:val="both"/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BASQUETE DUPLO – Equipamento com 08 modos de jogo, permitindo utilização individual ou em duplas; controle frontal para ligar/desligar, iniciar, pausar e ajuste de volume; sistema de montagem com porcas borboleta, dispensando ferramentas; estrutura dobrável para otimização do espaço quando não estiver em uso; funcionamento com 03 pilhas AA; acompanha 04 bolas de basquete em tamanho especial, 01 bomba para enchimento e 01 manual de instruções de montagem e dos jogos. Dimensões aproximadas montado: 2,07 m x 1,07 m x 2,03 m; dobrado: 0,87 m x 1,07 m x 2,03 m. Peso aproximado: 12 kg.</w:t>
            </w:r>
          </w:p>
        </w:tc>
        <w:tc>
          <w:tcPr>
            <w:tcW w:w="708" w:type="dxa"/>
          </w:tcPr>
          <w:p w14:paraId="1D4C414F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UN</w:t>
            </w:r>
          </w:p>
        </w:tc>
        <w:tc>
          <w:tcPr>
            <w:tcW w:w="854" w:type="dxa"/>
          </w:tcPr>
          <w:p w14:paraId="117224C8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01</w:t>
            </w:r>
          </w:p>
        </w:tc>
      </w:tr>
      <w:tr w:rsidR="00CD3C51" w:rsidRPr="003B2F5A" w14:paraId="739666B2" w14:textId="77777777" w:rsidTr="003B2F5A">
        <w:trPr>
          <w:jc w:val="center"/>
        </w:trPr>
        <w:tc>
          <w:tcPr>
            <w:tcW w:w="704" w:type="dxa"/>
          </w:tcPr>
          <w:p w14:paraId="22274BB5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04</w:t>
            </w:r>
          </w:p>
        </w:tc>
        <w:tc>
          <w:tcPr>
            <w:tcW w:w="7655" w:type="dxa"/>
          </w:tcPr>
          <w:p w14:paraId="589020FD" w14:textId="77777777" w:rsidR="00CD3C51" w:rsidRPr="003B2F5A" w:rsidRDefault="00000000">
            <w:pPr>
              <w:jc w:val="both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lang w:val="pt-BR"/>
              </w:rPr>
              <w:t xml:space="preserve">FUTMESA – Estrutura reforçada em tubo de aço carbono 20 x 40 mm; tampo curvado em MDF Ultra de 15 mm; pintura epóxi de alta resistência; estrutura totalmente desmontável, facilitando transporte e armazenamento; acabamento resistente e durável. Dimensões aproximadas: 185 cm de comprimento x 137 cm de largura x 73 cm de altura. </w:t>
            </w:r>
            <w:r w:rsidRPr="003B2F5A">
              <w:rPr>
                <w:rFonts w:ascii="Arial" w:hAnsi="Arial" w:cs="Arial"/>
              </w:rPr>
              <w:t xml:space="preserve">Peso </w:t>
            </w:r>
            <w:proofErr w:type="spellStart"/>
            <w:r w:rsidRPr="003B2F5A">
              <w:rPr>
                <w:rFonts w:ascii="Arial" w:hAnsi="Arial" w:cs="Arial"/>
              </w:rPr>
              <w:t>aproximado</w:t>
            </w:r>
            <w:proofErr w:type="spellEnd"/>
            <w:r w:rsidRPr="003B2F5A">
              <w:rPr>
                <w:rFonts w:ascii="Arial" w:hAnsi="Arial" w:cs="Arial"/>
              </w:rPr>
              <w:t>: 40 kg.</w:t>
            </w:r>
          </w:p>
        </w:tc>
        <w:tc>
          <w:tcPr>
            <w:tcW w:w="708" w:type="dxa"/>
          </w:tcPr>
          <w:p w14:paraId="2C4E79A1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UN</w:t>
            </w:r>
          </w:p>
        </w:tc>
        <w:tc>
          <w:tcPr>
            <w:tcW w:w="854" w:type="dxa"/>
          </w:tcPr>
          <w:p w14:paraId="599CE8A8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01</w:t>
            </w:r>
          </w:p>
        </w:tc>
      </w:tr>
      <w:tr w:rsidR="00CD3C51" w:rsidRPr="003B2F5A" w14:paraId="594E4397" w14:textId="77777777" w:rsidTr="003B2F5A">
        <w:trPr>
          <w:jc w:val="center"/>
        </w:trPr>
        <w:tc>
          <w:tcPr>
            <w:tcW w:w="704" w:type="dxa"/>
          </w:tcPr>
          <w:p w14:paraId="6BEEA98E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05</w:t>
            </w:r>
          </w:p>
        </w:tc>
        <w:tc>
          <w:tcPr>
            <w:tcW w:w="7655" w:type="dxa"/>
          </w:tcPr>
          <w:p w14:paraId="3DEBA632" w14:textId="77777777" w:rsidR="00CD3C51" w:rsidRPr="003B2F5A" w:rsidRDefault="00000000">
            <w:pPr>
              <w:jc w:val="both"/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 xml:space="preserve">JOGO DE MESA PITOCO – Mesa fabricada em madeira de alta qualidade, com revestimento colorido; haste em Metalon quadrado soldada em base metálica e parafusada na parte inferior da mesa; acabamento em borracha </w:t>
            </w:r>
            <w:r w:rsidRPr="003B2F5A">
              <w:rPr>
                <w:rFonts w:ascii="Arial" w:hAnsi="Arial" w:cs="Arial"/>
                <w:lang w:val="pt-BR"/>
              </w:rPr>
              <w:lastRenderedPageBreak/>
              <w:t>antiderrapante; acompanha kit de fixação e jogo de peças em acrílico cristal, composto por 06 peças amarelas, 06 azuis, 03 vermelhas e 01 batedeira.</w:t>
            </w:r>
          </w:p>
        </w:tc>
        <w:tc>
          <w:tcPr>
            <w:tcW w:w="708" w:type="dxa"/>
          </w:tcPr>
          <w:p w14:paraId="14539E83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lastRenderedPageBreak/>
              <w:t>UN</w:t>
            </w:r>
          </w:p>
        </w:tc>
        <w:tc>
          <w:tcPr>
            <w:tcW w:w="854" w:type="dxa"/>
          </w:tcPr>
          <w:p w14:paraId="66F4D2F7" w14:textId="77777777" w:rsidR="00CD3C51" w:rsidRPr="003B2F5A" w:rsidRDefault="00000000">
            <w:pPr>
              <w:jc w:val="center"/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01</w:t>
            </w:r>
          </w:p>
        </w:tc>
      </w:tr>
    </w:tbl>
    <w:p w14:paraId="13E0560B" w14:textId="77777777" w:rsidR="003B2F5A" w:rsidRDefault="003B2F5A">
      <w:pPr>
        <w:spacing w:after="80" w:line="240" w:lineRule="auto"/>
        <w:rPr>
          <w:rFonts w:ascii="Arial" w:hAnsi="Arial" w:cs="Arial"/>
          <w:b/>
        </w:rPr>
      </w:pPr>
    </w:p>
    <w:p w14:paraId="2A83ED58" w14:textId="718EF1D4" w:rsidR="00CD3C51" w:rsidRPr="003B2F5A" w:rsidRDefault="00000000">
      <w:pPr>
        <w:spacing w:after="80" w:line="240" w:lineRule="auto"/>
        <w:rPr>
          <w:rFonts w:ascii="Arial" w:hAnsi="Arial" w:cs="Arial"/>
        </w:rPr>
      </w:pPr>
      <w:r w:rsidRPr="003B2F5A">
        <w:rPr>
          <w:rFonts w:ascii="Arial" w:hAnsi="Arial" w:cs="Arial"/>
          <w:b/>
        </w:rPr>
        <w:t>10. PRAZO DE EXECUÇÃO</w:t>
      </w:r>
    </w:p>
    <w:p w14:paraId="22351B9E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Sugere-se que o fornecimento, a entrega, a montagem e a instalação dos equipamentos, quando aplicável, ocorram no prazo máximo de 30 (trinta) dias corridos, contados do recebimento da Autorização de Fornecimento/Ordem de Compra, admitindo-se ajuste no Termo de Referência conforme as condições de fornecimento e a necessidade administrativa.</w:t>
      </w:r>
    </w:p>
    <w:p w14:paraId="6A713D49" w14:textId="77777777" w:rsidR="00CD3C51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Os bens deverão ser entregues na Escola Irmã Neli em perfeitas condições de uso, acompanhados dos respectivos acessórios, manuais e itens de montagem/fixação previstos nas especificações.</w:t>
      </w:r>
    </w:p>
    <w:p w14:paraId="587C7443" w14:textId="77777777" w:rsidR="003B2F5A" w:rsidRPr="003B2F5A" w:rsidRDefault="003B2F5A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</w:p>
    <w:p w14:paraId="1548FEE7" w14:textId="77777777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11. ESTIMATIVA DO VALOR</w:t>
      </w:r>
    </w:p>
    <w:p w14:paraId="2C678E2E" w14:textId="09CF327C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O DFD estabeleceu estimativa preliminar de R$ 18.900,00 (dezoito mil e novecentos reais). Para subsidiar este estudo,</w:t>
      </w:r>
      <w:r w:rsidR="003B2F5A" w:rsidRPr="003B2F5A">
        <w:rPr>
          <w:rFonts w:ascii="Arial" w:hAnsi="Arial" w:cs="Arial"/>
          <w:lang w:val="pt-BR"/>
        </w:rPr>
        <w:t xml:space="preserve"> </w:t>
      </w:r>
      <w:r w:rsidRPr="003B2F5A">
        <w:rPr>
          <w:rFonts w:ascii="Arial" w:hAnsi="Arial" w:cs="Arial"/>
          <w:lang w:val="pt-BR"/>
        </w:rPr>
        <w:t>distribuído entre os cinco itens pretendidos.</w:t>
      </w:r>
    </w:p>
    <w:p w14:paraId="1F761BA0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O valor estimado definitivo deverá ser apurado por meio da pesquisa de preços do processo, observando os parâmetros aplicáveis e buscando demonstrar a compatibilidade dos preços com os praticados no mercado. A pesquisa deverá considerar o fornecimento completo, incluindo acessórios, transporte, entrega, montagem e instalação, quando aplicável.</w:t>
      </w:r>
    </w:p>
    <w:p w14:paraId="01DCF87C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110E8FA3" w14:textId="1E60C7C8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12. DOCUMENTAÇÃO DE HABILITAÇÃO E QUALIFICAÇÃO TÉCNICA</w:t>
      </w:r>
    </w:p>
    <w:p w14:paraId="76A910C4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empresa deverá apresentar documentação compatível com a natureza da contratação e com as exigências da Lei Federal nº 14.133/2021, observada a possibilidade de simplificação documental admitida para contratações diretas, quando cabível.</w:t>
      </w:r>
    </w:p>
    <w:p w14:paraId="4CD3B8B2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4EF52404" w14:textId="70782942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12.1 Habilitação Jurídica</w:t>
      </w:r>
    </w:p>
    <w:p w14:paraId="2D738E30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Comprovante de inscrição no Cadastro Nacional da Pessoa Jurídica – CNPJ;</w:t>
      </w:r>
    </w:p>
    <w:p w14:paraId="45228E05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Ato constitutivo, contrato social ou documento equivalente, conforme o caso.</w:t>
      </w:r>
    </w:p>
    <w:p w14:paraId="3E7657EB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59AF33B3" w14:textId="716157E8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12.2 Regularidade Fiscal, Social e Trabalhista</w:t>
      </w:r>
    </w:p>
    <w:p w14:paraId="315F4AB9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Regularidade perante a Fazenda Federal;</w:t>
      </w:r>
    </w:p>
    <w:p w14:paraId="2FC255E1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Regularidade perante a Fazenda Estadual;</w:t>
      </w:r>
    </w:p>
    <w:p w14:paraId="4D6554D5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Regularidade perante a Fazenda Municipal;</w:t>
      </w:r>
    </w:p>
    <w:p w14:paraId="43743CC8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Certificado de Regularidade do FGTS – CRF;</w:t>
      </w:r>
    </w:p>
    <w:p w14:paraId="5D4C907B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Certidão Negativa de Débitos Trabalhistas – CNDT.</w:t>
      </w:r>
    </w:p>
    <w:p w14:paraId="6D060A04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5D4FB7FE" w14:textId="5D1796EE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12.3 Qualificação Técnica</w:t>
      </w:r>
    </w:p>
    <w:p w14:paraId="56526809" w14:textId="77777777" w:rsidR="00CD3C51" w:rsidRPr="003B2F5A" w:rsidRDefault="00000000">
      <w:pPr>
        <w:spacing w:after="80" w:line="240" w:lineRule="auto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 xml:space="preserve">Por se tratar de fornecimento de bens comuns, as exigências de qualificação técnica deverão ser proporcionais à complexidade do objeto, evitando restrições indevidas à competitividade. Quando </w:t>
      </w:r>
      <w:r w:rsidRPr="003B2F5A">
        <w:rPr>
          <w:rFonts w:ascii="Arial" w:hAnsi="Arial" w:cs="Arial"/>
          <w:lang w:val="pt-BR"/>
        </w:rPr>
        <w:lastRenderedPageBreak/>
        <w:t>considerado necessário, poderá ser solicitada comprovação de fornecimento anterior de bens compatíveis, por meio de atestado(s) de capacidade técnica.</w:t>
      </w:r>
    </w:p>
    <w:p w14:paraId="7606CF24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326DF62A" w14:textId="1BBB2854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13. IMPACTOS AMBIENTAIS</w:t>
      </w:r>
    </w:p>
    <w:p w14:paraId="3F897B61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Na aquisição e utilização dos equipamentos deverão ser observadas, sempre que aplicáveis, medidas de sustentabilidade e redução de impactos ambientais, especialmente:</w:t>
      </w:r>
    </w:p>
    <w:p w14:paraId="184F1514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preferência por materiais resistentes e de maior durabilidade;</w:t>
      </w:r>
    </w:p>
    <w:p w14:paraId="2CE855C4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adequado acondicionamento e redução de embalagens desnecessárias;</w:t>
      </w:r>
    </w:p>
    <w:p w14:paraId="682F0E34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possibilidade de reciclagem ou destinação ambientalmente adequada das embalagens;</w:t>
      </w:r>
    </w:p>
    <w:p w14:paraId="7040BE19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facilidade de manutenção e reposição de acessórios, prolongando a vida útil dos bens;</w:t>
      </w:r>
    </w:p>
    <w:p w14:paraId="7EC9C3C8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uso racional de energia elétrica no equipamento de aero hockey;</w:t>
      </w:r>
    </w:p>
    <w:p w14:paraId="1D68D5DB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destinação adequada de pilhas utilizadas no basquete duplo, quando substituídas.</w:t>
      </w:r>
    </w:p>
    <w:p w14:paraId="4E463B75" w14:textId="77777777" w:rsidR="003B2F5A" w:rsidRDefault="003B2F5A">
      <w:pPr>
        <w:spacing w:after="80" w:line="240" w:lineRule="auto"/>
        <w:rPr>
          <w:rFonts w:ascii="Arial" w:hAnsi="Arial" w:cs="Arial"/>
          <w:b/>
        </w:rPr>
      </w:pPr>
    </w:p>
    <w:p w14:paraId="59E0F252" w14:textId="7E4593DB" w:rsidR="00CD3C51" w:rsidRPr="003B2F5A" w:rsidRDefault="00000000">
      <w:pPr>
        <w:spacing w:after="80" w:line="240" w:lineRule="auto"/>
        <w:rPr>
          <w:rFonts w:ascii="Arial" w:hAnsi="Arial" w:cs="Arial"/>
        </w:rPr>
      </w:pPr>
      <w:r w:rsidRPr="003B2F5A">
        <w:rPr>
          <w:rFonts w:ascii="Arial" w:hAnsi="Arial" w:cs="Arial"/>
          <w:b/>
        </w:rPr>
        <w:t>14. MATRIZ DE RISCOS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417"/>
        <w:gridCol w:w="1417"/>
        <w:gridCol w:w="4819"/>
      </w:tblGrid>
      <w:tr w:rsidR="00CD3C51" w:rsidRPr="003B2F5A" w14:paraId="40206411" w14:textId="77777777">
        <w:trPr>
          <w:tblHeader/>
          <w:jc w:val="center"/>
        </w:trPr>
        <w:tc>
          <w:tcPr>
            <w:tcW w:w="2268" w:type="dxa"/>
            <w:shd w:val="clear" w:color="auto" w:fill="D9EAF7"/>
          </w:tcPr>
          <w:p w14:paraId="25BD23BC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Risco</w:t>
            </w:r>
          </w:p>
        </w:tc>
        <w:tc>
          <w:tcPr>
            <w:tcW w:w="1417" w:type="dxa"/>
            <w:shd w:val="clear" w:color="auto" w:fill="D9EAF7"/>
          </w:tcPr>
          <w:p w14:paraId="6410A502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Probabilidade</w:t>
            </w:r>
          </w:p>
        </w:tc>
        <w:tc>
          <w:tcPr>
            <w:tcW w:w="1417" w:type="dxa"/>
            <w:shd w:val="clear" w:color="auto" w:fill="D9EAF7"/>
          </w:tcPr>
          <w:p w14:paraId="6D972307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Impacto</w:t>
            </w:r>
          </w:p>
        </w:tc>
        <w:tc>
          <w:tcPr>
            <w:tcW w:w="4819" w:type="dxa"/>
            <w:shd w:val="clear" w:color="auto" w:fill="D9EAF7"/>
          </w:tcPr>
          <w:p w14:paraId="5A27B38F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  <w:b/>
              </w:rPr>
              <w:t>Mitigação</w:t>
            </w:r>
          </w:p>
        </w:tc>
      </w:tr>
      <w:tr w:rsidR="00CD3C51" w:rsidRPr="003B2F5A" w14:paraId="1DDF7772" w14:textId="77777777">
        <w:trPr>
          <w:jc w:val="center"/>
        </w:trPr>
        <w:tc>
          <w:tcPr>
            <w:tcW w:w="2268" w:type="dxa"/>
          </w:tcPr>
          <w:p w14:paraId="35ABC854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Entrega de equipamento em desacordo com a especificação</w:t>
            </w:r>
          </w:p>
        </w:tc>
        <w:tc>
          <w:tcPr>
            <w:tcW w:w="1417" w:type="dxa"/>
          </w:tcPr>
          <w:p w14:paraId="1A31046D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Baixa</w:t>
            </w:r>
          </w:p>
        </w:tc>
        <w:tc>
          <w:tcPr>
            <w:tcW w:w="1417" w:type="dxa"/>
          </w:tcPr>
          <w:p w14:paraId="65838F21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Alto</w:t>
            </w:r>
          </w:p>
        </w:tc>
        <w:tc>
          <w:tcPr>
            <w:tcW w:w="4819" w:type="dxa"/>
          </w:tcPr>
          <w:p w14:paraId="0316D469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Conferência técnica no recebimento e previsão de substituição do item não conforme.</w:t>
            </w:r>
          </w:p>
        </w:tc>
      </w:tr>
      <w:tr w:rsidR="00CD3C51" w:rsidRPr="003B2F5A" w14:paraId="741845AE" w14:textId="77777777">
        <w:trPr>
          <w:jc w:val="center"/>
        </w:trPr>
        <w:tc>
          <w:tcPr>
            <w:tcW w:w="2268" w:type="dxa"/>
          </w:tcPr>
          <w:p w14:paraId="20F605D8" w14:textId="77777777" w:rsidR="00CD3C51" w:rsidRPr="003B2F5A" w:rsidRDefault="00000000">
            <w:pPr>
              <w:rPr>
                <w:rFonts w:ascii="Arial" w:hAnsi="Arial" w:cs="Arial"/>
              </w:rPr>
            </w:pPr>
            <w:proofErr w:type="spellStart"/>
            <w:r w:rsidRPr="003B2F5A">
              <w:rPr>
                <w:rFonts w:ascii="Arial" w:hAnsi="Arial" w:cs="Arial"/>
              </w:rPr>
              <w:t>Atraso</w:t>
            </w:r>
            <w:proofErr w:type="spellEnd"/>
            <w:r w:rsidRPr="003B2F5A">
              <w:rPr>
                <w:rFonts w:ascii="Arial" w:hAnsi="Arial" w:cs="Arial"/>
              </w:rPr>
              <w:t xml:space="preserve"> </w:t>
            </w:r>
            <w:proofErr w:type="spellStart"/>
            <w:r w:rsidRPr="003B2F5A">
              <w:rPr>
                <w:rFonts w:ascii="Arial" w:hAnsi="Arial" w:cs="Arial"/>
              </w:rPr>
              <w:t>na</w:t>
            </w:r>
            <w:proofErr w:type="spellEnd"/>
            <w:r w:rsidRPr="003B2F5A">
              <w:rPr>
                <w:rFonts w:ascii="Arial" w:hAnsi="Arial" w:cs="Arial"/>
              </w:rPr>
              <w:t xml:space="preserve"> </w:t>
            </w:r>
            <w:proofErr w:type="spellStart"/>
            <w:r w:rsidRPr="003B2F5A">
              <w:rPr>
                <w:rFonts w:ascii="Arial" w:hAnsi="Arial" w:cs="Arial"/>
              </w:rPr>
              <w:t>entrega</w:t>
            </w:r>
            <w:proofErr w:type="spellEnd"/>
          </w:p>
        </w:tc>
        <w:tc>
          <w:tcPr>
            <w:tcW w:w="1417" w:type="dxa"/>
          </w:tcPr>
          <w:p w14:paraId="194AE725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Média</w:t>
            </w:r>
          </w:p>
        </w:tc>
        <w:tc>
          <w:tcPr>
            <w:tcW w:w="1417" w:type="dxa"/>
          </w:tcPr>
          <w:p w14:paraId="69922857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Médio</w:t>
            </w:r>
          </w:p>
        </w:tc>
        <w:tc>
          <w:tcPr>
            <w:tcW w:w="4819" w:type="dxa"/>
          </w:tcPr>
          <w:p w14:paraId="272290C3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Definição de prazo, acompanhamento do fornecimento e aplicação das medidas cabíveis.</w:t>
            </w:r>
          </w:p>
        </w:tc>
      </w:tr>
      <w:tr w:rsidR="00CD3C51" w:rsidRPr="003B2F5A" w14:paraId="11604381" w14:textId="77777777">
        <w:trPr>
          <w:jc w:val="center"/>
        </w:trPr>
        <w:tc>
          <w:tcPr>
            <w:tcW w:w="2268" w:type="dxa"/>
          </w:tcPr>
          <w:p w14:paraId="623610EE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 xml:space="preserve">Danos no </w:t>
            </w:r>
            <w:proofErr w:type="spellStart"/>
            <w:r w:rsidRPr="003B2F5A">
              <w:rPr>
                <w:rFonts w:ascii="Arial" w:hAnsi="Arial" w:cs="Arial"/>
              </w:rPr>
              <w:t>transporte</w:t>
            </w:r>
            <w:proofErr w:type="spellEnd"/>
          </w:p>
        </w:tc>
        <w:tc>
          <w:tcPr>
            <w:tcW w:w="1417" w:type="dxa"/>
          </w:tcPr>
          <w:p w14:paraId="4F3469E1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Baixa</w:t>
            </w:r>
          </w:p>
        </w:tc>
        <w:tc>
          <w:tcPr>
            <w:tcW w:w="1417" w:type="dxa"/>
          </w:tcPr>
          <w:p w14:paraId="28CEBA66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Médio</w:t>
            </w:r>
          </w:p>
        </w:tc>
        <w:tc>
          <w:tcPr>
            <w:tcW w:w="4819" w:type="dxa"/>
          </w:tcPr>
          <w:p w14:paraId="1DD1B6D8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Exigir acondicionamento adequado e responsabilização do fornecedor até o recebimento definitivo.</w:t>
            </w:r>
          </w:p>
        </w:tc>
      </w:tr>
      <w:tr w:rsidR="00CD3C51" w:rsidRPr="003B2F5A" w14:paraId="6F5F267E" w14:textId="77777777">
        <w:trPr>
          <w:jc w:val="center"/>
        </w:trPr>
        <w:tc>
          <w:tcPr>
            <w:tcW w:w="2268" w:type="dxa"/>
          </w:tcPr>
          <w:p w14:paraId="350A66D5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Equipamento com risco à segurança dos estudantes</w:t>
            </w:r>
          </w:p>
        </w:tc>
        <w:tc>
          <w:tcPr>
            <w:tcW w:w="1417" w:type="dxa"/>
          </w:tcPr>
          <w:p w14:paraId="6B17D158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Baixa</w:t>
            </w:r>
          </w:p>
        </w:tc>
        <w:tc>
          <w:tcPr>
            <w:tcW w:w="1417" w:type="dxa"/>
          </w:tcPr>
          <w:p w14:paraId="0BC70041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Alto</w:t>
            </w:r>
          </w:p>
        </w:tc>
        <w:tc>
          <w:tcPr>
            <w:tcW w:w="4819" w:type="dxa"/>
          </w:tcPr>
          <w:p w14:paraId="6C6164A6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Exigir características de segurança, montagem correta e inspeção antes da liberação para uso.</w:t>
            </w:r>
          </w:p>
        </w:tc>
      </w:tr>
      <w:tr w:rsidR="00CD3C51" w:rsidRPr="003B2F5A" w14:paraId="36047A0E" w14:textId="77777777">
        <w:trPr>
          <w:jc w:val="center"/>
        </w:trPr>
        <w:tc>
          <w:tcPr>
            <w:tcW w:w="2268" w:type="dxa"/>
          </w:tcPr>
          <w:p w14:paraId="3054A915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Ausência ou incompatibilidade de acessórios</w:t>
            </w:r>
          </w:p>
        </w:tc>
        <w:tc>
          <w:tcPr>
            <w:tcW w:w="1417" w:type="dxa"/>
          </w:tcPr>
          <w:p w14:paraId="3AE76777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Baixa</w:t>
            </w:r>
          </w:p>
        </w:tc>
        <w:tc>
          <w:tcPr>
            <w:tcW w:w="1417" w:type="dxa"/>
          </w:tcPr>
          <w:p w14:paraId="5A791C17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Médio</w:t>
            </w:r>
          </w:p>
        </w:tc>
        <w:tc>
          <w:tcPr>
            <w:tcW w:w="4819" w:type="dxa"/>
          </w:tcPr>
          <w:p w14:paraId="733792B7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Conferência de todos os acessórios no recebimento e exigência de complementação/substituição.</w:t>
            </w:r>
          </w:p>
        </w:tc>
      </w:tr>
      <w:tr w:rsidR="00CD3C51" w:rsidRPr="003B2F5A" w14:paraId="7A921BCE" w14:textId="77777777">
        <w:trPr>
          <w:jc w:val="center"/>
        </w:trPr>
        <w:tc>
          <w:tcPr>
            <w:tcW w:w="2268" w:type="dxa"/>
          </w:tcPr>
          <w:p w14:paraId="64CB436D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Falha no motor do aero hockey</w:t>
            </w:r>
          </w:p>
        </w:tc>
        <w:tc>
          <w:tcPr>
            <w:tcW w:w="1417" w:type="dxa"/>
          </w:tcPr>
          <w:p w14:paraId="64E68C5B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Baixa</w:t>
            </w:r>
          </w:p>
        </w:tc>
        <w:tc>
          <w:tcPr>
            <w:tcW w:w="1417" w:type="dxa"/>
          </w:tcPr>
          <w:p w14:paraId="7BA35E24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Médio</w:t>
            </w:r>
          </w:p>
        </w:tc>
        <w:tc>
          <w:tcPr>
            <w:tcW w:w="4819" w:type="dxa"/>
          </w:tcPr>
          <w:p w14:paraId="455F782C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Exigir equipamento novo, teste de funcionamento e garantia do fornecedor/fabricante.</w:t>
            </w:r>
          </w:p>
        </w:tc>
      </w:tr>
      <w:tr w:rsidR="00CD3C51" w:rsidRPr="003B2F5A" w14:paraId="3CA75B4C" w14:textId="77777777">
        <w:trPr>
          <w:jc w:val="center"/>
        </w:trPr>
        <w:tc>
          <w:tcPr>
            <w:tcW w:w="2268" w:type="dxa"/>
          </w:tcPr>
          <w:p w14:paraId="52419649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Preço contratado incompatível com o mercado</w:t>
            </w:r>
          </w:p>
        </w:tc>
        <w:tc>
          <w:tcPr>
            <w:tcW w:w="1417" w:type="dxa"/>
          </w:tcPr>
          <w:p w14:paraId="392F5074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Baixa</w:t>
            </w:r>
          </w:p>
        </w:tc>
        <w:tc>
          <w:tcPr>
            <w:tcW w:w="1417" w:type="dxa"/>
          </w:tcPr>
          <w:p w14:paraId="672E3520" w14:textId="77777777" w:rsidR="00CD3C51" w:rsidRPr="003B2F5A" w:rsidRDefault="00000000">
            <w:pPr>
              <w:rPr>
                <w:rFonts w:ascii="Arial" w:hAnsi="Arial" w:cs="Arial"/>
              </w:rPr>
            </w:pPr>
            <w:r w:rsidRPr="003B2F5A">
              <w:rPr>
                <w:rFonts w:ascii="Arial" w:hAnsi="Arial" w:cs="Arial"/>
              </w:rPr>
              <w:t>Alto</w:t>
            </w:r>
          </w:p>
        </w:tc>
        <w:tc>
          <w:tcPr>
            <w:tcW w:w="4819" w:type="dxa"/>
          </w:tcPr>
          <w:p w14:paraId="72B8F54C" w14:textId="77777777" w:rsidR="00CD3C51" w:rsidRPr="003B2F5A" w:rsidRDefault="00000000">
            <w:pPr>
              <w:rPr>
                <w:rFonts w:ascii="Arial" w:hAnsi="Arial" w:cs="Arial"/>
                <w:lang w:val="pt-BR"/>
              </w:rPr>
            </w:pPr>
            <w:r w:rsidRPr="003B2F5A">
              <w:rPr>
                <w:rFonts w:ascii="Arial" w:hAnsi="Arial" w:cs="Arial"/>
                <w:lang w:val="pt-BR"/>
              </w:rPr>
              <w:t>Realizar pesquisa de preços e análise da vantajosidade antes da contratação.</w:t>
            </w:r>
          </w:p>
        </w:tc>
      </w:tr>
    </w:tbl>
    <w:p w14:paraId="4D45D8EA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7B6641A8" w14:textId="7763DDEE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15. VIABILIDADE</w:t>
      </w:r>
    </w:p>
    <w:p w14:paraId="1CF1BC13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contratação mostra-se tecnicamente viável, pois os equipamentos pretendidos possuem especificações usuais de mercado e podem ser objetivamente descritos, permitindo comparação de propostas e verificação de conformidade no recebimento.</w:t>
      </w:r>
    </w:p>
    <w:p w14:paraId="00C8EA11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lastRenderedPageBreak/>
        <w:t>Sob o aspecto econômico, o valor preliminar encontra-se compatível com a possibilidade de contratação direta por dispensa em razão do valor, sujeita à confirmação da pesquisa de preços e às verificações exigidas pela Lei nº 14.133/2021. A aquisição permanente também se mostra mais adequada que a locação para uma necessidade continuada de recreação escolar.</w:t>
      </w:r>
    </w:p>
    <w:p w14:paraId="36C83464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Sob o aspecto pedagógico e social, a solução contribui para qualificar os espaços de convivência da Escola Irmã Neli e executar ação prevista no Plano de Ação e no Plano de Trabalho da Deliberação nº 013/2025 – CEDCA/PR.</w:t>
      </w:r>
    </w:p>
    <w:p w14:paraId="63E932B3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398EAC3B" w14:textId="30F28BC8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16. BENEFÍCIOS ESPERADOS</w:t>
      </w:r>
    </w:p>
    <w:p w14:paraId="317238D0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ampliar as opções de atividades recreativas disponíveis aos estudantes;</w:t>
      </w:r>
    </w:p>
    <w:p w14:paraId="05FA5430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qualificar os espaços escolares destinados ao lazer e à convivência;</w:t>
      </w:r>
    </w:p>
    <w:p w14:paraId="6F7C79FF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proporcionar momentos de interação, socialização e cooperação;</w:t>
      </w:r>
    </w:p>
    <w:p w14:paraId="15610D32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estimular habilidades motoras, cognitivas, sociais e emocionais;</w:t>
      </w:r>
    </w:p>
    <w:p w14:paraId="4743FDD2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disponibilizar equipamentos variados, adequados e seguros para uso no ambiente escolar;</w:t>
      </w:r>
    </w:p>
    <w:p w14:paraId="166D4625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incorporar bens duráveis ao patrimônio municipal;</w:t>
      </w:r>
    </w:p>
    <w:p w14:paraId="7928BFA5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executar a ação planejada no âmbito da Deliberação nº 013/2025 – CEDCA/PR;</w:t>
      </w:r>
    </w:p>
    <w:p w14:paraId="2B4D24B7" w14:textId="77777777" w:rsidR="00CD3C51" w:rsidRPr="003B2F5A" w:rsidRDefault="00000000">
      <w:pPr>
        <w:spacing w:after="2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• promover melhor aplicação dos recursos públicos destinados à qualificação dos espaços escolares.</w:t>
      </w:r>
    </w:p>
    <w:p w14:paraId="46E54B87" w14:textId="77777777" w:rsidR="003B2F5A" w:rsidRDefault="003B2F5A">
      <w:pPr>
        <w:spacing w:after="80" w:line="240" w:lineRule="auto"/>
        <w:rPr>
          <w:rFonts w:ascii="Arial" w:hAnsi="Arial" w:cs="Arial"/>
          <w:b/>
          <w:lang w:val="pt-BR"/>
        </w:rPr>
      </w:pPr>
    </w:p>
    <w:p w14:paraId="4986390D" w14:textId="044ADBF7" w:rsidR="00CD3C51" w:rsidRPr="003B2F5A" w:rsidRDefault="00000000">
      <w:pPr>
        <w:spacing w:after="80" w:line="240" w:lineRule="auto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b/>
          <w:lang w:val="pt-BR"/>
        </w:rPr>
        <w:t>17. CONCLUSÃO</w:t>
      </w:r>
    </w:p>
    <w:p w14:paraId="3D4786E2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Diante das informações levantadas, conclui-se que a aquisição de mesas e equipamentos de jogos recreativos para a Escola Irmã Neli é necessária, adequada e tecnicamente viável para ampliar as opções de recreação, convivência e desenvolvimento dos estudantes.</w:t>
      </w:r>
    </w:p>
    <w:p w14:paraId="7C0E59CD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 solução proposta contempla cinco equipamentos distintos, com seus respectivos acessórios, permitindo variedade de atividades e uso permanente pela unidade escolar. A contratação está prevista no PCA nº 164/2026-1.8 e vinculada às ações do Plano de Ação e do Plano de Trabalho da Deliberação nº 013/2025 – CEDCA/PR.</w:t>
      </w:r>
    </w:p>
    <w:p w14:paraId="4D97F52C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Considerando o valor preliminar da contratação e a natureza de compra de bens comuns, mostra-se possível o prosseguimento da contratação por dispensa de licitação em razão do valor, com fundamento no art. 75, inciso II, da Lei nº 14.133/2021, desde que confirmados a vantajosidade, o preço de mercado, a inexistência de fracionamento indevido e os demais requisitos legais e administrativos aplicáveis.</w:t>
      </w:r>
    </w:p>
    <w:p w14:paraId="59A581CF" w14:textId="77777777" w:rsidR="00CD3C51" w:rsidRPr="003B2F5A" w:rsidRDefault="00000000" w:rsidP="003B2F5A">
      <w:pPr>
        <w:spacing w:after="80" w:line="240" w:lineRule="auto"/>
        <w:ind w:firstLine="1134"/>
        <w:jc w:val="both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Assim, considera-se a contratação conveniente e de interesse público, recomendando-se o prosseguimento da fase preparatória e a elaboração do Termo de Referência com base nas especificações deste Estudo Técnico Preliminar.</w:t>
      </w:r>
    </w:p>
    <w:p w14:paraId="3D71C076" w14:textId="6B4D82CE" w:rsidR="00CD3C51" w:rsidRPr="003B2F5A" w:rsidRDefault="00000000">
      <w:pPr>
        <w:spacing w:after="360" w:line="240" w:lineRule="auto"/>
        <w:jc w:val="center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 xml:space="preserve">Bom Sucesso do Sul – PR, 25 de </w:t>
      </w:r>
      <w:proofErr w:type="gramStart"/>
      <w:r w:rsidRPr="003B2F5A">
        <w:rPr>
          <w:rFonts w:ascii="Arial" w:hAnsi="Arial" w:cs="Arial"/>
          <w:lang w:val="pt-BR"/>
        </w:rPr>
        <w:t>Setembro</w:t>
      </w:r>
      <w:proofErr w:type="gramEnd"/>
      <w:r w:rsidRPr="003B2F5A">
        <w:rPr>
          <w:rFonts w:ascii="Arial" w:hAnsi="Arial" w:cs="Arial"/>
          <w:lang w:val="pt-BR"/>
        </w:rPr>
        <w:t xml:space="preserve"> de 2026.</w:t>
      </w:r>
    </w:p>
    <w:p w14:paraId="4FF135AC" w14:textId="77777777" w:rsidR="00CD3C51" w:rsidRPr="003B2F5A" w:rsidRDefault="00000000">
      <w:pPr>
        <w:spacing w:after="0" w:line="240" w:lineRule="auto"/>
        <w:jc w:val="center"/>
        <w:rPr>
          <w:rFonts w:ascii="Arial" w:hAnsi="Arial" w:cs="Arial"/>
          <w:lang w:val="pt-BR"/>
        </w:rPr>
      </w:pPr>
      <w:r w:rsidRPr="003B2F5A">
        <w:rPr>
          <w:rFonts w:ascii="Arial" w:hAnsi="Arial" w:cs="Arial"/>
          <w:lang w:val="pt-BR"/>
        </w:rPr>
        <w:t>__________________________________</w:t>
      </w:r>
    </w:p>
    <w:p w14:paraId="73A4FA46" w14:textId="77777777" w:rsidR="00CD3C51" w:rsidRPr="003B2F5A" w:rsidRDefault="00000000">
      <w:pPr>
        <w:spacing w:after="0" w:line="240" w:lineRule="auto"/>
        <w:jc w:val="center"/>
        <w:rPr>
          <w:rFonts w:ascii="Arial" w:hAnsi="Arial" w:cs="Arial"/>
          <w:lang w:val="pt-BR"/>
        </w:rPr>
      </w:pPr>
      <w:proofErr w:type="spellStart"/>
      <w:r w:rsidRPr="003B2F5A">
        <w:rPr>
          <w:rFonts w:ascii="Arial" w:hAnsi="Arial" w:cs="Arial"/>
          <w:lang w:val="pt-BR"/>
        </w:rPr>
        <w:t>Elisana</w:t>
      </w:r>
      <w:proofErr w:type="spellEnd"/>
      <w:r w:rsidRPr="003B2F5A">
        <w:rPr>
          <w:rFonts w:ascii="Arial" w:hAnsi="Arial" w:cs="Arial"/>
          <w:lang w:val="pt-BR"/>
        </w:rPr>
        <w:t xml:space="preserve"> </w:t>
      </w:r>
      <w:proofErr w:type="spellStart"/>
      <w:r w:rsidRPr="003B2F5A">
        <w:rPr>
          <w:rFonts w:ascii="Arial" w:hAnsi="Arial" w:cs="Arial"/>
          <w:lang w:val="pt-BR"/>
        </w:rPr>
        <w:t>Pillonetto</w:t>
      </w:r>
      <w:proofErr w:type="spellEnd"/>
    </w:p>
    <w:p w14:paraId="1B2233C3" w14:textId="77777777" w:rsidR="00CD3C51" w:rsidRPr="003B2F5A" w:rsidRDefault="00000000">
      <w:pPr>
        <w:spacing w:after="0" w:line="240" w:lineRule="auto"/>
        <w:jc w:val="center"/>
        <w:rPr>
          <w:lang w:val="pt-BR"/>
        </w:rPr>
      </w:pPr>
      <w:r w:rsidRPr="003B2F5A">
        <w:rPr>
          <w:rFonts w:ascii="Arial" w:hAnsi="Arial" w:cs="Arial"/>
          <w:lang w:val="pt-BR"/>
        </w:rPr>
        <w:t>Depto. de Educação, Cultura e</w:t>
      </w:r>
      <w:r w:rsidRPr="003B2F5A">
        <w:rPr>
          <w:lang w:val="pt-BR"/>
        </w:rPr>
        <w:t xml:space="preserve"> Esportes</w:t>
      </w:r>
    </w:p>
    <w:sectPr w:rsidR="00CD3C51" w:rsidRPr="003B2F5A" w:rsidSect="003B2F5A">
      <w:headerReference w:type="default" r:id="rId8"/>
      <w:pgSz w:w="12240" w:h="15840"/>
      <w:pgMar w:top="2552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CD512" w14:textId="77777777" w:rsidR="00135DA4" w:rsidRDefault="00135DA4" w:rsidP="00B158BE">
      <w:pPr>
        <w:spacing w:after="0" w:line="240" w:lineRule="auto"/>
      </w:pPr>
      <w:r>
        <w:separator/>
      </w:r>
    </w:p>
  </w:endnote>
  <w:endnote w:type="continuationSeparator" w:id="0">
    <w:p w14:paraId="085E1BCD" w14:textId="77777777" w:rsidR="00135DA4" w:rsidRDefault="00135DA4" w:rsidP="00B1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194D9" w14:textId="77777777" w:rsidR="00135DA4" w:rsidRDefault="00135DA4" w:rsidP="00B158BE">
      <w:pPr>
        <w:spacing w:after="0" w:line="240" w:lineRule="auto"/>
      </w:pPr>
      <w:bookmarkStart w:id="0" w:name="_Hlk236312037"/>
      <w:bookmarkEnd w:id="0"/>
      <w:r>
        <w:separator/>
      </w:r>
    </w:p>
  </w:footnote>
  <w:footnote w:type="continuationSeparator" w:id="0">
    <w:p w14:paraId="53FA290C" w14:textId="77777777" w:rsidR="00135DA4" w:rsidRDefault="00135DA4" w:rsidP="00B15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58C17" w14:textId="151032CF" w:rsidR="003B2F5A" w:rsidRDefault="003B2F5A" w:rsidP="00B158BE">
    <w:pPr>
      <w:tabs>
        <w:tab w:val="left" w:pos="810"/>
        <w:tab w:val="center" w:pos="7002"/>
      </w:tabs>
      <w:spacing w:after="0"/>
      <w:jc w:val="center"/>
      <w:rPr>
        <w:b/>
        <w:sz w:val="28"/>
        <w:szCs w:val="28"/>
        <w:lang w:val="pt-BR"/>
      </w:rPr>
    </w:pPr>
    <w:r>
      <w:rPr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70F6398B" wp14:editId="4A21C188">
          <wp:simplePos x="0" y="0"/>
          <wp:positionH relativeFrom="column">
            <wp:posOffset>4986020</wp:posOffset>
          </wp:positionH>
          <wp:positionV relativeFrom="paragraph">
            <wp:posOffset>-219075</wp:posOffset>
          </wp:positionV>
          <wp:extent cx="1066800" cy="1196340"/>
          <wp:effectExtent l="0" t="0" r="0" b="3810"/>
          <wp:wrapSquare wrapText="bothSides"/>
          <wp:docPr id="16997938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703573" name="Imagem 1362703573"/>
                  <pic:cNvPicPr/>
                </pic:nvPicPr>
                <pic:blipFill rotWithShape="1">
                  <a:blip r:embed="rId1"/>
                  <a:srcRect l="24653" t="8592" r="31076" b="16928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196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65CC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79397D5D" wp14:editId="2437679E">
          <wp:simplePos x="0" y="0"/>
          <wp:positionH relativeFrom="margin">
            <wp:posOffset>-14605</wp:posOffset>
          </wp:positionH>
          <wp:positionV relativeFrom="topMargin">
            <wp:posOffset>314325</wp:posOffset>
          </wp:positionV>
          <wp:extent cx="1171575" cy="1123315"/>
          <wp:effectExtent l="0" t="0" r="9525" b="635"/>
          <wp:wrapSquare wrapText="bothSides"/>
          <wp:docPr id="162473987" name="Imagem 1624739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12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58BE" w:rsidRPr="00B158BE">
      <w:rPr>
        <w:b/>
        <w:sz w:val="28"/>
        <w:szCs w:val="28"/>
        <w:lang w:val="pt-BR"/>
      </w:rPr>
      <w:t>PREFEITURA MUNICIPAL DE</w:t>
    </w:r>
  </w:p>
  <w:p w14:paraId="595C07D7" w14:textId="08CAB59A" w:rsidR="00B158BE" w:rsidRPr="00B158BE" w:rsidRDefault="00B158BE" w:rsidP="00B158BE">
    <w:pPr>
      <w:tabs>
        <w:tab w:val="left" w:pos="810"/>
        <w:tab w:val="center" w:pos="7002"/>
      </w:tabs>
      <w:spacing w:after="0"/>
      <w:jc w:val="center"/>
      <w:rPr>
        <w:b/>
        <w:sz w:val="28"/>
        <w:szCs w:val="28"/>
        <w:lang w:val="pt-BR"/>
      </w:rPr>
    </w:pPr>
    <w:r w:rsidRPr="00B158BE">
      <w:rPr>
        <w:b/>
        <w:sz w:val="28"/>
        <w:szCs w:val="28"/>
        <w:lang w:val="pt-BR"/>
      </w:rPr>
      <w:t xml:space="preserve"> BOM SUCESSO DO SUL – PR</w:t>
    </w:r>
  </w:p>
  <w:p w14:paraId="3AA5ADA7" w14:textId="77777777" w:rsidR="00B158BE" w:rsidRPr="003B2F5A" w:rsidRDefault="00B158BE" w:rsidP="00B158BE">
    <w:pPr>
      <w:pStyle w:val="Cabealho"/>
      <w:jc w:val="center"/>
      <w:rPr>
        <w:lang w:val="pt-BR"/>
      </w:rPr>
    </w:pPr>
    <w:r w:rsidRPr="003B2F5A">
      <w:rPr>
        <w:b/>
        <w:bCs/>
        <w:lang w:val="pt-BR"/>
      </w:rPr>
      <w:t>CNPJ: 80.874.100/0001-86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E16565"/>
    <w:multiLevelType w:val="multilevel"/>
    <w:tmpl w:val="210C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2D5B0D"/>
    <w:multiLevelType w:val="multilevel"/>
    <w:tmpl w:val="834E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C2210B"/>
    <w:multiLevelType w:val="multilevel"/>
    <w:tmpl w:val="943A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62F58"/>
    <w:multiLevelType w:val="multilevel"/>
    <w:tmpl w:val="1EF62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8F3507"/>
    <w:multiLevelType w:val="multilevel"/>
    <w:tmpl w:val="2B88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127366"/>
    <w:multiLevelType w:val="multilevel"/>
    <w:tmpl w:val="B01C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820DB3"/>
    <w:multiLevelType w:val="multilevel"/>
    <w:tmpl w:val="9758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4A7D33"/>
    <w:multiLevelType w:val="multilevel"/>
    <w:tmpl w:val="CB1A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5D2902"/>
    <w:multiLevelType w:val="multilevel"/>
    <w:tmpl w:val="D0C80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6C467B"/>
    <w:multiLevelType w:val="multilevel"/>
    <w:tmpl w:val="55CC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462AA4"/>
    <w:multiLevelType w:val="multilevel"/>
    <w:tmpl w:val="3374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392339"/>
    <w:multiLevelType w:val="multilevel"/>
    <w:tmpl w:val="DD18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A879F3"/>
    <w:multiLevelType w:val="multilevel"/>
    <w:tmpl w:val="7ACE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7F33C9"/>
    <w:multiLevelType w:val="multilevel"/>
    <w:tmpl w:val="BCE07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9903118">
    <w:abstractNumId w:val="8"/>
  </w:num>
  <w:num w:numId="2" w16cid:durableId="1111046396">
    <w:abstractNumId w:val="6"/>
  </w:num>
  <w:num w:numId="3" w16cid:durableId="1674602392">
    <w:abstractNumId w:val="5"/>
  </w:num>
  <w:num w:numId="4" w16cid:durableId="1895965819">
    <w:abstractNumId w:val="4"/>
  </w:num>
  <w:num w:numId="5" w16cid:durableId="1535848874">
    <w:abstractNumId w:val="7"/>
  </w:num>
  <w:num w:numId="6" w16cid:durableId="2062749190">
    <w:abstractNumId w:val="3"/>
  </w:num>
  <w:num w:numId="7" w16cid:durableId="294484402">
    <w:abstractNumId w:val="2"/>
  </w:num>
  <w:num w:numId="8" w16cid:durableId="286931446">
    <w:abstractNumId w:val="1"/>
  </w:num>
  <w:num w:numId="9" w16cid:durableId="2125810298">
    <w:abstractNumId w:val="0"/>
  </w:num>
  <w:num w:numId="10" w16cid:durableId="1207914852">
    <w:abstractNumId w:val="22"/>
  </w:num>
  <w:num w:numId="11" w16cid:durableId="2145583380">
    <w:abstractNumId w:val="13"/>
  </w:num>
  <w:num w:numId="12" w16cid:durableId="1876850998">
    <w:abstractNumId w:val="21"/>
  </w:num>
  <w:num w:numId="13" w16cid:durableId="1314068991">
    <w:abstractNumId w:val="17"/>
  </w:num>
  <w:num w:numId="14" w16cid:durableId="1863854250">
    <w:abstractNumId w:val="19"/>
  </w:num>
  <w:num w:numId="15" w16cid:durableId="53744762">
    <w:abstractNumId w:val="9"/>
  </w:num>
  <w:num w:numId="16" w16cid:durableId="1276332817">
    <w:abstractNumId w:val="12"/>
  </w:num>
  <w:num w:numId="17" w16cid:durableId="536086140">
    <w:abstractNumId w:val="14"/>
  </w:num>
  <w:num w:numId="18" w16cid:durableId="796531019">
    <w:abstractNumId w:val="18"/>
  </w:num>
  <w:num w:numId="19" w16cid:durableId="1817719312">
    <w:abstractNumId w:val="20"/>
  </w:num>
  <w:num w:numId="20" w16cid:durableId="2053730676">
    <w:abstractNumId w:val="15"/>
  </w:num>
  <w:num w:numId="21" w16cid:durableId="1584408315">
    <w:abstractNumId w:val="11"/>
  </w:num>
  <w:num w:numId="22" w16cid:durableId="491723949">
    <w:abstractNumId w:val="10"/>
  </w:num>
  <w:num w:numId="23" w16cid:durableId="5375948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DA4"/>
    <w:rsid w:val="0015074B"/>
    <w:rsid w:val="001B70A1"/>
    <w:rsid w:val="0029639D"/>
    <w:rsid w:val="0030488E"/>
    <w:rsid w:val="00326F90"/>
    <w:rsid w:val="003B2F5A"/>
    <w:rsid w:val="005052B9"/>
    <w:rsid w:val="00532D72"/>
    <w:rsid w:val="005574F3"/>
    <w:rsid w:val="006159A7"/>
    <w:rsid w:val="00627EE0"/>
    <w:rsid w:val="00686AD9"/>
    <w:rsid w:val="00716B43"/>
    <w:rsid w:val="00751574"/>
    <w:rsid w:val="00820BF3"/>
    <w:rsid w:val="00847D6D"/>
    <w:rsid w:val="008E6B18"/>
    <w:rsid w:val="00972150"/>
    <w:rsid w:val="00976BB5"/>
    <w:rsid w:val="009D24AD"/>
    <w:rsid w:val="00A25416"/>
    <w:rsid w:val="00AA1D8D"/>
    <w:rsid w:val="00AD42D5"/>
    <w:rsid w:val="00B158BE"/>
    <w:rsid w:val="00B34929"/>
    <w:rsid w:val="00B4686A"/>
    <w:rsid w:val="00B47730"/>
    <w:rsid w:val="00B7166F"/>
    <w:rsid w:val="00C71663"/>
    <w:rsid w:val="00CB0664"/>
    <w:rsid w:val="00CD3C51"/>
    <w:rsid w:val="00D35EEA"/>
    <w:rsid w:val="00D622C9"/>
    <w:rsid w:val="00D73699"/>
    <w:rsid w:val="00E54F30"/>
    <w:rsid w:val="00F215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420C7"/>
  <w14:defaultImageDpi w14:val="300"/>
  <w15:docId w15:val="{DAAFF722-3FFF-4AEC-AE56-E5B18B57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2153</Words>
  <Characters>12273</Characters>
  <Application>Microsoft Office Word</Application>
  <DocSecurity>0</DocSecurity>
  <Lines>102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ETP - Cantinho da Leitura CMEI Vovó Helena - Atualizado</vt:lpstr>
      <vt:lpstr/>
    </vt:vector>
  </TitlesOfParts>
  <Manager/>
  <Company/>
  <LinksUpToDate>false</LinksUpToDate>
  <CharactersWithSpaces>14398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ETP - Cantinho da Leitura CMEI Vovó Helena - Atualizado</dc:title>
  <dc:subject/>
  <dc:creator>Juliane</dc:creator>
  <cp:keywords/>
  <dc:description>generated by python-docx</dc:description>
  <cp:lastModifiedBy>Juliane Nunes</cp:lastModifiedBy>
  <cp:revision>2</cp:revision>
  <cp:lastPrinted>2026-08-20T17:53:00Z</cp:lastPrinted>
  <dcterms:created xsi:type="dcterms:W3CDTF">2026-09-25T11:51:00Z</dcterms:created>
  <dcterms:modified xsi:type="dcterms:W3CDTF">2026-09-25T11:51:00Z</dcterms:modified>
  <cp:category/>
</cp:coreProperties>
</file>